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1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социально-экономической ситуации за 2015</w:t>
      </w:r>
      <w:r w:rsidR="000A48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1D1" w:rsidRPr="00EA43EA" w:rsidRDefault="00EA01D1" w:rsidP="00EA01D1">
      <w:pPr>
        <w:spacing w:after="0" w:line="240" w:lineRule="auto"/>
        <w:ind w:firstLine="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  <w:r w:rsidRPr="00E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D1" w:rsidRPr="00DD051C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D051C">
        <w:rPr>
          <w:rFonts w:ascii="Times New Roman" w:hAnsi="Times New Roman" w:cs="Times New Roman"/>
          <w:sz w:val="28"/>
          <w:szCs w:val="28"/>
        </w:rPr>
        <w:t>гропромышленный комплекс района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D051C">
        <w:rPr>
          <w:rFonts w:ascii="Times New Roman" w:hAnsi="Times New Roman" w:cs="Times New Roman"/>
          <w:sz w:val="28"/>
          <w:szCs w:val="28"/>
        </w:rPr>
        <w:t xml:space="preserve"> 12 сельскохозяйственных коллективных предприятий, </w:t>
      </w:r>
      <w:r w:rsidR="0074265C">
        <w:rPr>
          <w:rFonts w:ascii="Times New Roman" w:hAnsi="Times New Roman" w:cs="Times New Roman"/>
          <w:sz w:val="28"/>
          <w:szCs w:val="28"/>
        </w:rPr>
        <w:t>18</w:t>
      </w:r>
      <w:r w:rsidRPr="00DD051C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 и </w:t>
      </w:r>
      <w:r w:rsidR="0074265C">
        <w:rPr>
          <w:rFonts w:ascii="Times New Roman" w:hAnsi="Times New Roman" w:cs="Times New Roman"/>
          <w:sz w:val="28"/>
          <w:szCs w:val="28"/>
        </w:rPr>
        <w:t>4875</w:t>
      </w:r>
      <w:r w:rsidRPr="00DD051C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EA01D1" w:rsidRPr="0071272B" w:rsidRDefault="00EA01D1" w:rsidP="00EA01D1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71272B">
        <w:rPr>
          <w:rFonts w:ascii="Times New Roman" w:hAnsi="Times New Roman" w:cs="Times New Roman"/>
          <w:sz w:val="28"/>
          <w:szCs w:val="28"/>
        </w:rPr>
        <w:t>Посевная площадь в 201</w:t>
      </w:r>
      <w:r w:rsidR="00362771">
        <w:rPr>
          <w:rFonts w:ascii="Times New Roman" w:hAnsi="Times New Roman" w:cs="Times New Roman"/>
          <w:sz w:val="28"/>
          <w:szCs w:val="28"/>
        </w:rPr>
        <w:t>5</w:t>
      </w:r>
      <w:r w:rsidRPr="0071272B">
        <w:rPr>
          <w:rFonts w:ascii="Times New Roman" w:hAnsi="Times New Roman" w:cs="Times New Roman"/>
          <w:sz w:val="28"/>
          <w:szCs w:val="28"/>
        </w:rPr>
        <w:t xml:space="preserve"> году  составила </w:t>
      </w:r>
      <w:r w:rsidR="0074265C">
        <w:rPr>
          <w:rFonts w:ascii="Times New Roman" w:hAnsi="Times New Roman" w:cs="Times New Roman"/>
          <w:sz w:val="28"/>
          <w:szCs w:val="28"/>
        </w:rPr>
        <w:t>135481</w:t>
      </w:r>
      <w:r w:rsidRPr="0071272B">
        <w:rPr>
          <w:rFonts w:ascii="Times New Roman" w:hAnsi="Times New Roman" w:cs="Times New Roman"/>
          <w:sz w:val="28"/>
          <w:szCs w:val="28"/>
        </w:rPr>
        <w:t xml:space="preserve"> га, в т.ч. зерновые – </w:t>
      </w:r>
      <w:r w:rsidR="0074265C">
        <w:rPr>
          <w:rFonts w:ascii="Times New Roman" w:hAnsi="Times New Roman" w:cs="Times New Roman"/>
          <w:sz w:val="28"/>
          <w:szCs w:val="28"/>
        </w:rPr>
        <w:t>23617</w:t>
      </w:r>
      <w:r w:rsidRPr="0071272B">
        <w:rPr>
          <w:rFonts w:ascii="Times New Roman" w:hAnsi="Times New Roman" w:cs="Times New Roman"/>
          <w:sz w:val="28"/>
          <w:szCs w:val="28"/>
        </w:rPr>
        <w:t xml:space="preserve"> га, соя – </w:t>
      </w:r>
      <w:r w:rsidR="0071272B" w:rsidRPr="0071272B">
        <w:rPr>
          <w:rFonts w:ascii="Times New Roman" w:hAnsi="Times New Roman" w:cs="Times New Roman"/>
          <w:sz w:val="28"/>
          <w:szCs w:val="28"/>
        </w:rPr>
        <w:t>110925</w:t>
      </w:r>
      <w:r w:rsidRPr="0071272B">
        <w:rPr>
          <w:rFonts w:ascii="Times New Roman" w:hAnsi="Times New Roman" w:cs="Times New Roman"/>
          <w:sz w:val="28"/>
          <w:szCs w:val="28"/>
        </w:rPr>
        <w:t xml:space="preserve"> га</w:t>
      </w:r>
      <w:r w:rsidR="0071272B">
        <w:rPr>
          <w:rFonts w:ascii="Times New Roman" w:hAnsi="Times New Roman" w:cs="Times New Roman"/>
          <w:sz w:val="28"/>
          <w:szCs w:val="28"/>
        </w:rPr>
        <w:t>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</w:t>
      </w:r>
      <w:r w:rsidR="0047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59BE">
        <w:rPr>
          <w:rFonts w:ascii="Times New Roman" w:hAnsi="Times New Roman" w:cs="Times New Roman"/>
          <w:sz w:val="28"/>
          <w:szCs w:val="28"/>
        </w:rPr>
        <w:tab/>
      </w:r>
      <w:r w:rsidR="004860B3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2015 года увеличение объема промышленного производства по отношению к январю-</w:t>
      </w:r>
      <w:r w:rsidR="004860B3">
        <w:rPr>
          <w:rFonts w:ascii="Times New Roman" w:hAnsi="Times New Roman" w:cs="Times New Roman"/>
          <w:sz w:val="28"/>
          <w:szCs w:val="28"/>
        </w:rPr>
        <w:t>октябрю</w:t>
      </w:r>
      <w:r>
        <w:rPr>
          <w:rFonts w:ascii="Times New Roman" w:hAnsi="Times New Roman" w:cs="Times New Roman"/>
          <w:sz w:val="28"/>
          <w:szCs w:val="28"/>
        </w:rPr>
        <w:t xml:space="preserve"> 2015 года составило </w:t>
      </w:r>
      <w:r w:rsidR="004860B3">
        <w:rPr>
          <w:rFonts w:ascii="Times New Roman" w:hAnsi="Times New Roman" w:cs="Times New Roman"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 xml:space="preserve">%.  Темп роста показателя к соответствующему периоду с начала прошлого года сложился в размере </w:t>
      </w:r>
      <w:r w:rsidR="004860B3">
        <w:rPr>
          <w:rFonts w:ascii="Times New Roman" w:hAnsi="Times New Roman" w:cs="Times New Roman"/>
          <w:sz w:val="28"/>
          <w:szCs w:val="28"/>
        </w:rPr>
        <w:t>в 3,2 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объема производства продукции сельского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по сравнению с аналогичным периодом прошлого года составил </w:t>
      </w:r>
      <w:r w:rsidR="004E4597">
        <w:rPr>
          <w:rFonts w:ascii="Times New Roman" w:hAnsi="Times New Roman" w:cs="Times New Roman"/>
          <w:sz w:val="28"/>
          <w:szCs w:val="28"/>
        </w:rPr>
        <w:t>в 5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1D1" w:rsidRPr="00D82713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13">
        <w:rPr>
          <w:rFonts w:ascii="Times New Roman" w:hAnsi="Times New Roman" w:cs="Times New Roman"/>
          <w:sz w:val="28"/>
          <w:szCs w:val="28"/>
        </w:rPr>
        <w:t xml:space="preserve">Объем производства и распределения электроэнергии, газа и воды по сравнению с аналогичным периодом 2014 года </w:t>
      </w:r>
      <w:r w:rsidR="00634266">
        <w:rPr>
          <w:rFonts w:ascii="Times New Roman" w:hAnsi="Times New Roman" w:cs="Times New Roman"/>
          <w:sz w:val="28"/>
          <w:szCs w:val="28"/>
        </w:rPr>
        <w:t>уменьшился на 4,8%</w:t>
      </w:r>
      <w:r w:rsidRPr="00D827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1D1" w:rsidRDefault="00AA0A4D" w:rsidP="00AA0A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Строительство. </w:t>
      </w:r>
    </w:p>
    <w:p w:rsidR="00EA01D1" w:rsidRPr="00934EDB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6D36">
        <w:rPr>
          <w:rFonts w:ascii="Times New Roman" w:hAnsi="Times New Roman" w:cs="Times New Roman"/>
          <w:sz w:val="28"/>
          <w:szCs w:val="28"/>
        </w:rPr>
        <w:t>2015 год</w:t>
      </w:r>
      <w:r w:rsidRPr="00934EDB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района организациями всех форм собственности не построено ни одной квартиры.</w:t>
      </w:r>
    </w:p>
    <w:p w:rsidR="00EA01D1" w:rsidRPr="00C678BF" w:rsidRDefault="00EA01D1" w:rsidP="00EA01D1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BF">
        <w:rPr>
          <w:rFonts w:ascii="Times New Roman" w:hAnsi="Times New Roman" w:cs="Times New Roman"/>
          <w:sz w:val="28"/>
          <w:szCs w:val="28"/>
        </w:rPr>
        <w:t xml:space="preserve">Населением за счет собственных и заемных средств введено </w:t>
      </w:r>
      <w:r w:rsidR="000C59BE" w:rsidRPr="00C678BF">
        <w:rPr>
          <w:rFonts w:ascii="Times New Roman" w:hAnsi="Times New Roman" w:cs="Times New Roman"/>
          <w:sz w:val="28"/>
          <w:szCs w:val="28"/>
        </w:rPr>
        <w:t xml:space="preserve">940 </w:t>
      </w:r>
      <w:r w:rsidRPr="00C678B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678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678BF">
        <w:rPr>
          <w:rFonts w:ascii="Times New Roman" w:hAnsi="Times New Roman" w:cs="Times New Roman"/>
          <w:sz w:val="28"/>
          <w:szCs w:val="28"/>
        </w:rPr>
        <w:t xml:space="preserve">етра общей площади жилых домов, их доля в общем объеме введенного жилья по </w:t>
      </w:r>
      <w:r w:rsidRPr="00C678BF">
        <w:rPr>
          <w:rFonts w:ascii="Times New Roman" w:hAnsi="Times New Roman" w:cs="Times New Roman"/>
          <w:bCs/>
          <w:sz w:val="28"/>
          <w:szCs w:val="28"/>
        </w:rPr>
        <w:t xml:space="preserve">муниципальному району </w:t>
      </w:r>
      <w:r w:rsidR="000C59BE" w:rsidRPr="00C678BF">
        <w:rPr>
          <w:rFonts w:ascii="Times New Roman" w:hAnsi="Times New Roman" w:cs="Times New Roman"/>
          <w:sz w:val="28"/>
          <w:szCs w:val="28"/>
        </w:rPr>
        <w:t xml:space="preserve">за </w:t>
      </w:r>
      <w:r w:rsidRPr="00C678BF">
        <w:rPr>
          <w:rFonts w:ascii="Times New Roman" w:hAnsi="Times New Roman" w:cs="Times New Roman"/>
          <w:sz w:val="28"/>
          <w:szCs w:val="28"/>
        </w:rPr>
        <w:t>2015</w:t>
      </w:r>
      <w:r w:rsidR="00A26D36" w:rsidRPr="00C678BF">
        <w:rPr>
          <w:rFonts w:ascii="Times New Roman" w:hAnsi="Times New Roman" w:cs="Times New Roman"/>
          <w:sz w:val="28"/>
          <w:szCs w:val="28"/>
        </w:rPr>
        <w:t xml:space="preserve"> год</w:t>
      </w:r>
      <w:r w:rsidRPr="00C678BF">
        <w:rPr>
          <w:rFonts w:ascii="Times New Roman" w:hAnsi="Times New Roman" w:cs="Times New Roman"/>
          <w:sz w:val="28"/>
          <w:szCs w:val="28"/>
        </w:rPr>
        <w:t xml:space="preserve"> составила 100%. В отчетном периоде по сравнению с аналогичным показателем 2014 года в действие введено жилых домов больше в </w:t>
      </w:r>
      <w:r w:rsidR="000C59BE" w:rsidRPr="00C678BF">
        <w:rPr>
          <w:rFonts w:ascii="Times New Roman" w:hAnsi="Times New Roman" w:cs="Times New Roman"/>
          <w:sz w:val="28"/>
          <w:szCs w:val="28"/>
        </w:rPr>
        <w:t>2,42</w:t>
      </w:r>
      <w:r w:rsidRPr="00C678B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A0A4D" w:rsidRDefault="00AA0A4D" w:rsidP="00EA01D1">
      <w:pPr>
        <w:pStyle w:val="31"/>
        <w:shd w:val="clear" w:color="auto" w:fill="auto"/>
        <w:tabs>
          <w:tab w:val="left" w:pos="4182"/>
        </w:tabs>
        <w:spacing w:line="240" w:lineRule="auto"/>
        <w:ind w:left="20" w:right="20" w:firstLine="68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Транспорт.</w:t>
      </w:r>
    </w:p>
    <w:p w:rsidR="00EA01D1" w:rsidRDefault="00EA01D1" w:rsidP="00EA01D1">
      <w:pPr>
        <w:pStyle w:val="31"/>
        <w:shd w:val="clear" w:color="auto" w:fill="auto"/>
        <w:tabs>
          <w:tab w:val="left" w:pos="4182"/>
        </w:tabs>
        <w:spacing w:line="240" w:lineRule="auto"/>
        <w:ind w:left="20" w:right="20" w:firstLine="689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Автомобильный транспорт Михайловского района представлен следующими предприятиями:</w:t>
      </w:r>
      <w:r w:rsidRPr="00507405">
        <w:rPr>
          <w:sz w:val="28"/>
          <w:szCs w:val="28"/>
        </w:rPr>
        <w:tab/>
        <w:t>ЗАО «Михайловское АТП» и ЗАО</w:t>
      </w:r>
      <w:r>
        <w:rPr>
          <w:sz w:val="28"/>
          <w:szCs w:val="28"/>
        </w:rPr>
        <w:t xml:space="preserve"> </w:t>
      </w:r>
      <w:r w:rsidRPr="00507405">
        <w:rPr>
          <w:sz w:val="28"/>
          <w:szCs w:val="28"/>
        </w:rPr>
        <w:t>«Благовещенский автовокзал». ЗАО «Михайловское АТП» осуществляет пассажирские и грузовые перевозки в районе, ЗАО «Благовещенский автовокзал» осуществляет пассажирские перевозки. Кроме того, пассажирскими перевозками занимаются и индивидуальный предприниматель ИП «</w:t>
      </w:r>
      <w:proofErr w:type="spellStart"/>
      <w:r w:rsidRPr="00507405">
        <w:rPr>
          <w:sz w:val="28"/>
          <w:szCs w:val="28"/>
        </w:rPr>
        <w:t>Осийчук</w:t>
      </w:r>
      <w:proofErr w:type="spellEnd"/>
      <w:r w:rsidRPr="00507405">
        <w:rPr>
          <w:sz w:val="28"/>
          <w:szCs w:val="28"/>
        </w:rPr>
        <w:t xml:space="preserve"> Е.Н.».</w:t>
      </w:r>
    </w:p>
    <w:p w:rsidR="00EA01D1" w:rsidRPr="000D7243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43">
        <w:rPr>
          <w:rFonts w:ascii="Times New Roman" w:hAnsi="Times New Roman" w:cs="Times New Roman"/>
          <w:sz w:val="28"/>
          <w:szCs w:val="28"/>
        </w:rPr>
        <w:t>В январе-</w:t>
      </w:r>
      <w:r w:rsidR="00D67A6D">
        <w:rPr>
          <w:rFonts w:ascii="Times New Roman" w:hAnsi="Times New Roman" w:cs="Times New Roman"/>
          <w:sz w:val="28"/>
          <w:szCs w:val="28"/>
        </w:rPr>
        <w:t>ноябре</w:t>
      </w:r>
      <w:r w:rsidR="000C59BE">
        <w:rPr>
          <w:rFonts w:ascii="Times New Roman" w:hAnsi="Times New Roman" w:cs="Times New Roman"/>
          <w:sz w:val="28"/>
          <w:szCs w:val="28"/>
        </w:rPr>
        <w:t xml:space="preserve"> </w:t>
      </w:r>
      <w:r w:rsidRPr="000D72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7243">
        <w:rPr>
          <w:rFonts w:ascii="Times New Roman" w:hAnsi="Times New Roman" w:cs="Times New Roman"/>
          <w:sz w:val="28"/>
          <w:szCs w:val="28"/>
        </w:rPr>
        <w:t xml:space="preserve"> года грузооборот грузовых автомобилей крупных и средних предприятий всех видов экономической деятельности Михайловского муниципального района по сравнению с январем-</w:t>
      </w:r>
      <w:r w:rsidR="00D67A6D">
        <w:rPr>
          <w:rFonts w:ascii="Times New Roman" w:hAnsi="Times New Roman" w:cs="Times New Roman"/>
          <w:sz w:val="28"/>
          <w:szCs w:val="28"/>
        </w:rPr>
        <w:t xml:space="preserve">ноябрем </w:t>
      </w:r>
      <w:r w:rsidRPr="000D7243">
        <w:rPr>
          <w:rFonts w:ascii="Times New Roman" w:hAnsi="Times New Roman" w:cs="Times New Roman"/>
          <w:sz w:val="28"/>
          <w:szCs w:val="28"/>
        </w:rPr>
        <w:t>201</w:t>
      </w:r>
      <w:r w:rsidR="00D67A6D">
        <w:rPr>
          <w:rFonts w:ascii="Times New Roman" w:hAnsi="Times New Roman" w:cs="Times New Roman"/>
          <w:sz w:val="28"/>
          <w:szCs w:val="28"/>
        </w:rPr>
        <w:t>5</w:t>
      </w:r>
      <w:r w:rsidRPr="000D72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7A6D">
        <w:rPr>
          <w:rFonts w:ascii="Times New Roman" w:hAnsi="Times New Roman" w:cs="Times New Roman"/>
          <w:sz w:val="28"/>
          <w:szCs w:val="28"/>
        </w:rPr>
        <w:t>увеличился</w:t>
      </w:r>
      <w:r w:rsidRPr="000D7243">
        <w:rPr>
          <w:rFonts w:ascii="Times New Roman" w:hAnsi="Times New Roman" w:cs="Times New Roman"/>
          <w:sz w:val="28"/>
          <w:szCs w:val="28"/>
        </w:rPr>
        <w:t xml:space="preserve"> на </w:t>
      </w:r>
      <w:r w:rsidR="000C59BE">
        <w:rPr>
          <w:rFonts w:ascii="Times New Roman" w:hAnsi="Times New Roman" w:cs="Times New Roman"/>
          <w:sz w:val="28"/>
          <w:szCs w:val="28"/>
        </w:rPr>
        <w:t>9</w:t>
      </w:r>
      <w:r w:rsidR="00D67A6D">
        <w:rPr>
          <w:rFonts w:ascii="Times New Roman" w:hAnsi="Times New Roman" w:cs="Times New Roman"/>
          <w:sz w:val="28"/>
          <w:szCs w:val="28"/>
        </w:rPr>
        <w:t>5,6</w:t>
      </w:r>
      <w:r w:rsidRPr="000D7243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Показатель перевозки грузов грузовыми автомобилями крупных и средних предприятий в рассматриваемом периоде сократился по сравнению с прошлым годом на </w:t>
      </w:r>
      <w:r w:rsidR="00D67A6D">
        <w:rPr>
          <w:rFonts w:ascii="Times New Roman" w:hAnsi="Times New Roman" w:cs="Times New Roman"/>
          <w:sz w:val="28"/>
          <w:szCs w:val="28"/>
        </w:rPr>
        <w:t>9</w:t>
      </w:r>
      <w:r w:rsidR="000C59BE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A01D1" w:rsidRPr="00507405" w:rsidRDefault="00EA01D1" w:rsidP="00EA01D1">
      <w:pPr>
        <w:pStyle w:val="31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Транспортное сообщение с городами и районами Амурской области производится путём автобусного сообщения по межмуниципальной маршрутной сети.</w:t>
      </w:r>
    </w:p>
    <w:p w:rsidR="00EA01D1" w:rsidRPr="00507405" w:rsidRDefault="00EA01D1" w:rsidP="00EA01D1">
      <w:pPr>
        <w:pStyle w:val="31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В 201</w:t>
      </w:r>
      <w:r w:rsidR="000C59BE">
        <w:rPr>
          <w:sz w:val="28"/>
          <w:szCs w:val="28"/>
        </w:rPr>
        <w:t>5</w:t>
      </w:r>
      <w:r w:rsidRPr="00507405">
        <w:rPr>
          <w:sz w:val="28"/>
          <w:szCs w:val="28"/>
        </w:rPr>
        <w:t xml:space="preserve"> году в районе действовало 5 межмуниципальных маршрутов. </w:t>
      </w:r>
    </w:p>
    <w:p w:rsidR="00EA01D1" w:rsidRPr="00507405" w:rsidRDefault="00EA01D1" w:rsidP="00EA01D1">
      <w:pPr>
        <w:pStyle w:val="31"/>
        <w:shd w:val="clear" w:color="auto" w:fill="auto"/>
        <w:tabs>
          <w:tab w:val="left" w:pos="1561"/>
        </w:tabs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Отсутствует автобусное сообщение с</w:t>
      </w:r>
      <w:r>
        <w:rPr>
          <w:sz w:val="28"/>
          <w:szCs w:val="28"/>
        </w:rPr>
        <w:t xml:space="preserve"> четырьмя населенными пунктами: </w:t>
      </w:r>
      <w:r w:rsidRPr="00507405">
        <w:rPr>
          <w:sz w:val="28"/>
          <w:szCs w:val="28"/>
        </w:rPr>
        <w:t>с</w:t>
      </w:r>
      <w:proofErr w:type="gramStart"/>
      <w:r w:rsidRPr="00507405">
        <w:rPr>
          <w:sz w:val="28"/>
          <w:szCs w:val="28"/>
        </w:rPr>
        <w:t>.Н</w:t>
      </w:r>
      <w:proofErr w:type="gramEnd"/>
      <w:r w:rsidRPr="00507405">
        <w:rPr>
          <w:sz w:val="28"/>
          <w:szCs w:val="28"/>
        </w:rPr>
        <w:t xml:space="preserve">ижняя </w:t>
      </w:r>
      <w:proofErr w:type="spellStart"/>
      <w:r w:rsidRPr="00507405">
        <w:rPr>
          <w:sz w:val="28"/>
          <w:szCs w:val="28"/>
        </w:rPr>
        <w:t>Ильиновка</w:t>
      </w:r>
      <w:proofErr w:type="spellEnd"/>
      <w:r w:rsidRPr="00507405">
        <w:rPr>
          <w:sz w:val="28"/>
          <w:szCs w:val="28"/>
        </w:rPr>
        <w:t>, с.Ярославка, с.Красный Восток,</w:t>
      </w:r>
      <w:r>
        <w:rPr>
          <w:sz w:val="28"/>
          <w:szCs w:val="28"/>
        </w:rPr>
        <w:t xml:space="preserve"> </w:t>
      </w:r>
      <w:proofErr w:type="spellStart"/>
      <w:r w:rsidRPr="00507405">
        <w:rPr>
          <w:sz w:val="28"/>
          <w:szCs w:val="28"/>
        </w:rPr>
        <w:lastRenderedPageBreak/>
        <w:t>с.Коршуновка</w:t>
      </w:r>
      <w:proofErr w:type="spellEnd"/>
      <w:r w:rsidRPr="00507405">
        <w:rPr>
          <w:sz w:val="28"/>
          <w:szCs w:val="28"/>
        </w:rPr>
        <w:t>.</w:t>
      </w:r>
    </w:p>
    <w:p w:rsidR="00EA01D1" w:rsidRPr="00507405" w:rsidRDefault="00EA01D1" w:rsidP="00EA01D1">
      <w:pPr>
        <w:pStyle w:val="31"/>
        <w:shd w:val="clear" w:color="auto" w:fill="auto"/>
        <w:tabs>
          <w:tab w:val="left" w:pos="1945"/>
          <w:tab w:val="left" w:pos="2535"/>
        </w:tabs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 xml:space="preserve">Протяжённость дорог регионального значения, проходящих по территории района составляет 364,8 </w:t>
      </w:r>
      <w:proofErr w:type="gramStart"/>
      <w:r w:rsidRPr="00507405">
        <w:rPr>
          <w:sz w:val="28"/>
          <w:szCs w:val="28"/>
        </w:rPr>
        <w:t>км</w:t>
      </w:r>
      <w:proofErr w:type="gramEnd"/>
      <w:r w:rsidRPr="00507405">
        <w:rPr>
          <w:sz w:val="28"/>
          <w:szCs w:val="28"/>
        </w:rPr>
        <w:t xml:space="preserve"> в том числе грави</w:t>
      </w:r>
      <w:r>
        <w:rPr>
          <w:sz w:val="28"/>
          <w:szCs w:val="28"/>
        </w:rPr>
        <w:t>йные: - 251,3 км, а/бетонные:</w:t>
      </w:r>
      <w:r>
        <w:rPr>
          <w:sz w:val="28"/>
          <w:szCs w:val="28"/>
        </w:rPr>
        <w:tab/>
      </w:r>
      <w:r w:rsidRPr="00507405">
        <w:rPr>
          <w:sz w:val="28"/>
          <w:szCs w:val="28"/>
        </w:rPr>
        <w:t>97,7 км. Обслуживание дорог осуществляет ОАО</w:t>
      </w:r>
      <w:r>
        <w:rPr>
          <w:sz w:val="28"/>
          <w:szCs w:val="28"/>
        </w:rPr>
        <w:t xml:space="preserve"> </w:t>
      </w:r>
      <w:r w:rsidRPr="00507405">
        <w:rPr>
          <w:sz w:val="28"/>
          <w:szCs w:val="28"/>
        </w:rPr>
        <w:t>«Михайловское ДУ».</w:t>
      </w:r>
    </w:p>
    <w:p w:rsidR="00EA01D1" w:rsidRPr="00507405" w:rsidRDefault="00EA01D1" w:rsidP="00EA01D1">
      <w:pPr>
        <w:pStyle w:val="31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Протяжённость дорог общего пользования местного значения составляет 192,6 км. Покрытие дорог района в основном гравийное, составляет 135 км (или 70 %), асфальтированное покрытие составляет 57,6 км</w:t>
      </w:r>
      <w:proofErr w:type="gramStart"/>
      <w:r w:rsidRPr="00507405">
        <w:rPr>
          <w:sz w:val="28"/>
          <w:szCs w:val="28"/>
        </w:rPr>
        <w:t>.</w:t>
      </w:r>
      <w:proofErr w:type="gramEnd"/>
      <w:r w:rsidRPr="00507405">
        <w:rPr>
          <w:sz w:val="28"/>
          <w:szCs w:val="28"/>
        </w:rPr>
        <w:t xml:space="preserve"> (</w:t>
      </w:r>
      <w:proofErr w:type="gramStart"/>
      <w:r w:rsidRPr="00507405">
        <w:rPr>
          <w:sz w:val="28"/>
          <w:szCs w:val="28"/>
        </w:rPr>
        <w:t>и</w:t>
      </w:r>
      <w:proofErr w:type="gramEnd"/>
      <w:r w:rsidRPr="00507405">
        <w:rPr>
          <w:sz w:val="28"/>
          <w:szCs w:val="28"/>
        </w:rPr>
        <w:t>ли 30 %).</w:t>
      </w:r>
    </w:p>
    <w:p w:rsidR="00AA0A4D" w:rsidRDefault="00AA0A4D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 и общественное питание.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На территории района торговую деятельность осуществляют предприятия различных форм собственности, в том числе предприятие потребительской кооперации, акционерные общества, общества с ограниченной ответственностью, крестьянско-фермерские хозяйства, индивидуальные предприниматели.              </w:t>
      </w:r>
    </w:p>
    <w:p w:rsidR="00EA01D1" w:rsidRPr="00EE0CEB" w:rsidRDefault="00EA01D1" w:rsidP="00EA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питания.</w:t>
      </w:r>
    </w:p>
    <w:p w:rsidR="00EA01D1" w:rsidRPr="00EE0CEB" w:rsidRDefault="00EA01D1" w:rsidP="00EA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районе действует 166 предприятий  торговли с общей площадью 13306,9  кв.м., в том числе торговая площадь </w:t>
      </w:r>
      <w:smartTag w:uri="urn:schemas-microsoft-com:office:smarttags" w:element="metricconverter">
        <w:smartTagPr>
          <w:attr w:name="ProductID" w:val="6943,9 кв. м"/>
        </w:smartTagPr>
        <w:r w:rsidRPr="00EE0CEB">
          <w:rPr>
            <w:rFonts w:ascii="Times New Roman" w:hAnsi="Times New Roman" w:cs="Times New Roman"/>
            <w:sz w:val="28"/>
            <w:szCs w:val="28"/>
          </w:rPr>
          <w:t>6943,9 кв. м</w:t>
        </w:r>
      </w:smartTag>
      <w:r w:rsidRPr="00EE0CEB">
        <w:rPr>
          <w:rFonts w:ascii="Times New Roman" w:hAnsi="Times New Roman" w:cs="Times New Roman"/>
          <w:sz w:val="28"/>
          <w:szCs w:val="28"/>
        </w:rPr>
        <w:t>, из которых магазинов и торговых павильонов: 14</w:t>
      </w:r>
      <w:r w:rsidRPr="00EE0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продовольственных товаров,  51 непродовольственных товаров, 95 смешанных товаров, 1 оптово-розничный, 2  салона и 1 отдела сотовой связи, 1 аптека и 4 аптечных пункта. </w:t>
      </w:r>
    </w:p>
    <w:p w:rsidR="00EA01D1" w:rsidRPr="00A332C8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32C8">
        <w:rPr>
          <w:rFonts w:ascii="Times New Roman" w:hAnsi="Times New Roman" w:cs="Times New Roman"/>
          <w:sz w:val="28"/>
          <w:szCs w:val="28"/>
        </w:rPr>
        <w:t>Оборот розничной торговли за январь-</w:t>
      </w:r>
      <w:r w:rsidR="00C678BF" w:rsidRPr="00A332C8">
        <w:rPr>
          <w:rFonts w:ascii="Times New Roman" w:hAnsi="Times New Roman" w:cs="Times New Roman"/>
          <w:sz w:val="28"/>
          <w:szCs w:val="28"/>
        </w:rPr>
        <w:t>ноябрь</w:t>
      </w:r>
      <w:r w:rsidRPr="00A332C8">
        <w:rPr>
          <w:rFonts w:ascii="Times New Roman" w:hAnsi="Times New Roman" w:cs="Times New Roman"/>
          <w:sz w:val="28"/>
          <w:szCs w:val="28"/>
        </w:rPr>
        <w:t xml:space="preserve"> 2015 года составил </w:t>
      </w:r>
      <w:r w:rsidR="00C678BF" w:rsidRPr="00A332C8">
        <w:rPr>
          <w:rFonts w:ascii="Times New Roman" w:hAnsi="Times New Roman" w:cs="Times New Roman"/>
          <w:sz w:val="28"/>
          <w:szCs w:val="28"/>
        </w:rPr>
        <w:t>727427</w:t>
      </w:r>
      <w:r w:rsidRPr="00A332C8">
        <w:rPr>
          <w:rFonts w:ascii="Times New Roman" w:hAnsi="Times New Roman" w:cs="Times New Roman"/>
          <w:sz w:val="28"/>
          <w:szCs w:val="28"/>
        </w:rPr>
        <w:t xml:space="preserve">,0 тыс. рублей. Индекс физического объема к соответствующему периоду прошлого года составил </w:t>
      </w:r>
      <w:r w:rsidR="00C678BF" w:rsidRPr="00A332C8">
        <w:rPr>
          <w:rFonts w:ascii="Times New Roman" w:hAnsi="Times New Roman" w:cs="Times New Roman"/>
          <w:sz w:val="28"/>
          <w:szCs w:val="28"/>
        </w:rPr>
        <w:t>23,2</w:t>
      </w:r>
      <w:r w:rsidRPr="00A332C8">
        <w:rPr>
          <w:rFonts w:ascii="Times New Roman" w:hAnsi="Times New Roman" w:cs="Times New Roman"/>
          <w:sz w:val="28"/>
          <w:szCs w:val="28"/>
        </w:rPr>
        <w:t xml:space="preserve"> %. Продано товаров на одного жителя района на сумму  </w:t>
      </w:r>
      <w:r w:rsidR="00C678BF" w:rsidRPr="00A332C8">
        <w:rPr>
          <w:rFonts w:ascii="Times New Roman" w:hAnsi="Times New Roman" w:cs="Times New Roman"/>
          <w:sz w:val="28"/>
          <w:szCs w:val="28"/>
        </w:rPr>
        <w:t xml:space="preserve">51231 </w:t>
      </w:r>
      <w:r w:rsidRPr="00A332C8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EA01D1" w:rsidRPr="00A332C8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2C8">
        <w:rPr>
          <w:rFonts w:ascii="Times New Roman" w:hAnsi="Times New Roman" w:cs="Times New Roman"/>
          <w:sz w:val="28"/>
          <w:szCs w:val="28"/>
        </w:rPr>
        <w:t>На территории района функционирует 31 предприятие общественного питания, на 1374 посадочных мест (в т.ч. столовые:</w:t>
      </w:r>
      <w:proofErr w:type="gramEnd"/>
      <w:r w:rsidRPr="00A33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2C8">
        <w:rPr>
          <w:rFonts w:ascii="Times New Roman" w:hAnsi="Times New Roman" w:cs="Times New Roman"/>
          <w:sz w:val="28"/>
          <w:szCs w:val="28"/>
        </w:rPr>
        <w:t>ЦРБ, тубдиспансера, школьные, для рабочих, кафе).</w:t>
      </w:r>
      <w:proofErr w:type="gramEnd"/>
      <w:r w:rsidRPr="00A332C8">
        <w:rPr>
          <w:rFonts w:ascii="Times New Roman" w:hAnsi="Times New Roman" w:cs="Times New Roman"/>
          <w:sz w:val="28"/>
          <w:szCs w:val="28"/>
        </w:rPr>
        <w:t xml:space="preserve"> Услуги общественного питания населению оказывают 6 предприятий общественного питания общедоступной сети. Оборот общественного питания за </w:t>
      </w:r>
      <w:r w:rsidR="00946EBA" w:rsidRPr="00A332C8">
        <w:rPr>
          <w:rFonts w:ascii="Times New Roman" w:hAnsi="Times New Roman" w:cs="Times New Roman"/>
          <w:sz w:val="28"/>
          <w:szCs w:val="28"/>
        </w:rPr>
        <w:t>9 месяцев</w:t>
      </w:r>
      <w:r w:rsidRPr="00A332C8">
        <w:rPr>
          <w:rFonts w:ascii="Times New Roman" w:hAnsi="Times New Roman" w:cs="Times New Roman"/>
          <w:sz w:val="28"/>
          <w:szCs w:val="28"/>
        </w:rPr>
        <w:t xml:space="preserve"> 2015 года составил </w:t>
      </w:r>
      <w:r w:rsidR="00946EBA" w:rsidRPr="00A332C8">
        <w:rPr>
          <w:rFonts w:ascii="Times New Roman" w:hAnsi="Times New Roman" w:cs="Times New Roman"/>
          <w:sz w:val="28"/>
          <w:szCs w:val="28"/>
        </w:rPr>
        <w:t>10700</w:t>
      </w:r>
      <w:r w:rsidRPr="00A332C8">
        <w:rPr>
          <w:rFonts w:ascii="Times New Roman" w:hAnsi="Times New Roman" w:cs="Times New Roman"/>
          <w:sz w:val="28"/>
          <w:szCs w:val="28"/>
        </w:rPr>
        <w:t xml:space="preserve"> тыс. рублей. В  расчете на одного жителя оборот составил </w:t>
      </w:r>
      <w:r w:rsidR="00946EBA" w:rsidRPr="00A332C8">
        <w:rPr>
          <w:rFonts w:ascii="Times New Roman" w:hAnsi="Times New Roman" w:cs="Times New Roman"/>
          <w:sz w:val="28"/>
          <w:szCs w:val="28"/>
        </w:rPr>
        <w:t>753,7</w:t>
      </w:r>
      <w:r w:rsidRPr="00A332C8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A01D1" w:rsidRPr="00A332C8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332C8">
        <w:rPr>
          <w:rFonts w:ascii="Times New Roman" w:hAnsi="Times New Roman" w:cs="Times New Roman"/>
          <w:sz w:val="28"/>
          <w:szCs w:val="28"/>
        </w:rPr>
        <w:t>В январе-</w:t>
      </w:r>
      <w:r w:rsidR="00A332C8" w:rsidRPr="00A332C8">
        <w:rPr>
          <w:rFonts w:ascii="Times New Roman" w:hAnsi="Times New Roman" w:cs="Times New Roman"/>
          <w:sz w:val="28"/>
          <w:szCs w:val="28"/>
        </w:rPr>
        <w:t>ноябре</w:t>
      </w:r>
      <w:r w:rsidRPr="00A332C8">
        <w:rPr>
          <w:rFonts w:ascii="Times New Roman" w:hAnsi="Times New Roman" w:cs="Times New Roman"/>
          <w:sz w:val="28"/>
          <w:szCs w:val="28"/>
        </w:rPr>
        <w:t xml:space="preserve"> 2015 года населению оказано платных услуг крупными и средними организациями на </w:t>
      </w:r>
      <w:r w:rsidR="00A332C8" w:rsidRPr="00A332C8">
        <w:rPr>
          <w:rFonts w:ascii="Times New Roman" w:hAnsi="Times New Roman" w:cs="Times New Roman"/>
          <w:sz w:val="28"/>
          <w:szCs w:val="28"/>
        </w:rPr>
        <w:t>62,2</w:t>
      </w:r>
      <w:r w:rsidRPr="00A332C8">
        <w:rPr>
          <w:rFonts w:ascii="Times New Roman" w:hAnsi="Times New Roman" w:cs="Times New Roman"/>
          <w:sz w:val="28"/>
          <w:szCs w:val="28"/>
        </w:rPr>
        <w:t xml:space="preserve"> млн. рублей, что в фактических ценах больше аналогичного периода прошлого года на </w:t>
      </w:r>
      <w:r w:rsidR="00A332C8" w:rsidRPr="00A332C8">
        <w:rPr>
          <w:rFonts w:ascii="Times New Roman" w:hAnsi="Times New Roman" w:cs="Times New Roman"/>
          <w:sz w:val="28"/>
          <w:szCs w:val="28"/>
        </w:rPr>
        <w:t>79</w:t>
      </w:r>
      <w:r w:rsidR="00E51355" w:rsidRPr="00A332C8">
        <w:rPr>
          <w:rFonts w:ascii="Times New Roman" w:hAnsi="Times New Roman" w:cs="Times New Roman"/>
          <w:sz w:val="28"/>
          <w:szCs w:val="28"/>
        </w:rPr>
        <w:t>,9</w:t>
      </w:r>
      <w:r w:rsidRPr="00A332C8">
        <w:rPr>
          <w:rFonts w:ascii="Times New Roman" w:hAnsi="Times New Roman" w:cs="Times New Roman"/>
          <w:sz w:val="28"/>
          <w:szCs w:val="28"/>
        </w:rPr>
        <w:t>%.</w:t>
      </w:r>
    </w:p>
    <w:p w:rsidR="00AA0A4D" w:rsidRDefault="00AA0A4D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A01D1" w:rsidRPr="00304237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04237">
        <w:rPr>
          <w:rFonts w:ascii="Times New Roman" w:hAnsi="Times New Roman" w:cs="Times New Roman"/>
          <w:sz w:val="28"/>
          <w:szCs w:val="28"/>
        </w:rPr>
        <w:t xml:space="preserve">а 1 </w:t>
      </w:r>
      <w:r w:rsidR="00D67A6D">
        <w:rPr>
          <w:rFonts w:ascii="Times New Roman" w:hAnsi="Times New Roman" w:cs="Times New Roman"/>
          <w:sz w:val="28"/>
          <w:szCs w:val="28"/>
        </w:rPr>
        <w:t>января</w:t>
      </w:r>
      <w:r w:rsidRPr="00304237">
        <w:rPr>
          <w:rFonts w:ascii="Times New Roman" w:hAnsi="Times New Roman" w:cs="Times New Roman"/>
          <w:sz w:val="28"/>
          <w:szCs w:val="28"/>
        </w:rPr>
        <w:t xml:space="preserve"> 201</w:t>
      </w:r>
      <w:r w:rsidR="00D67A6D">
        <w:rPr>
          <w:rFonts w:ascii="Times New Roman" w:hAnsi="Times New Roman" w:cs="Times New Roman"/>
          <w:sz w:val="28"/>
          <w:szCs w:val="28"/>
        </w:rPr>
        <w:t>6</w:t>
      </w:r>
      <w:r w:rsidRPr="00304237">
        <w:rPr>
          <w:rFonts w:ascii="Times New Roman" w:hAnsi="Times New Roman" w:cs="Times New Roman"/>
          <w:sz w:val="28"/>
          <w:szCs w:val="28"/>
        </w:rPr>
        <w:t xml:space="preserve"> года в Михайловском районе число учтенных субъектов </w:t>
      </w:r>
      <w:r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Pr="00304237">
        <w:rPr>
          <w:rFonts w:ascii="Times New Roman" w:hAnsi="Times New Roman" w:cs="Times New Roman"/>
          <w:sz w:val="28"/>
          <w:szCs w:val="28"/>
        </w:rPr>
        <w:t xml:space="preserve">всех видов экономической деятельности (предприятий, организаций, их филиалов, других обособленных подразделений юридических лиц и организаций без прав юридического лица) составило </w:t>
      </w:r>
      <w:r w:rsidR="00D67A6D">
        <w:rPr>
          <w:rFonts w:ascii="Times New Roman" w:hAnsi="Times New Roman" w:cs="Times New Roman"/>
          <w:sz w:val="28"/>
          <w:szCs w:val="28"/>
        </w:rPr>
        <w:t xml:space="preserve">161 </w:t>
      </w:r>
      <w:r w:rsidRPr="00304237">
        <w:rPr>
          <w:rFonts w:ascii="Times New Roman" w:hAnsi="Times New Roman" w:cs="Times New Roman"/>
          <w:sz w:val="28"/>
          <w:szCs w:val="28"/>
        </w:rPr>
        <w:t>единиц</w:t>
      </w:r>
      <w:r w:rsidR="00D67A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т.ч. сельское хозяйство, охота и лесное хозяйство –</w:t>
      </w:r>
      <w:r w:rsidR="00D67A6D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ед., промышленность  - 1</w:t>
      </w:r>
      <w:r w:rsidR="00946E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ед., государственное управление и обеспечение военной безопасности – 26 ед., образование – </w:t>
      </w:r>
      <w:r w:rsidR="00946EBA">
        <w:rPr>
          <w:rFonts w:ascii="Times New Roman" w:hAnsi="Times New Roman" w:cs="Times New Roman"/>
          <w:sz w:val="28"/>
          <w:szCs w:val="28"/>
        </w:rPr>
        <w:t>1</w:t>
      </w:r>
      <w:r w:rsidR="00D67A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304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0A4D" w:rsidRDefault="00AA0A4D" w:rsidP="00EA01D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Бюджет.</w:t>
      </w:r>
    </w:p>
    <w:p w:rsidR="00EA01D1" w:rsidRPr="003249F3" w:rsidRDefault="00EA01D1" w:rsidP="00EA01D1">
      <w:pPr>
        <w:pStyle w:val="a4"/>
        <w:ind w:firstLine="720"/>
        <w:rPr>
          <w:sz w:val="28"/>
          <w:szCs w:val="28"/>
        </w:rPr>
      </w:pPr>
      <w:r w:rsidRPr="003249F3">
        <w:rPr>
          <w:sz w:val="28"/>
          <w:szCs w:val="28"/>
        </w:rPr>
        <w:lastRenderedPageBreak/>
        <w:t xml:space="preserve">Консолидированный бюджет Михайловского района за </w:t>
      </w:r>
      <w:r w:rsidR="00D67A6D" w:rsidRPr="003249F3">
        <w:rPr>
          <w:sz w:val="28"/>
          <w:szCs w:val="28"/>
        </w:rPr>
        <w:t xml:space="preserve">2015 год </w:t>
      </w:r>
      <w:r w:rsidRPr="003249F3">
        <w:rPr>
          <w:sz w:val="28"/>
          <w:szCs w:val="28"/>
        </w:rPr>
        <w:t xml:space="preserve">исполнен по доходам в сумме </w:t>
      </w:r>
      <w:r w:rsidR="008919DF" w:rsidRPr="003249F3">
        <w:rPr>
          <w:sz w:val="28"/>
          <w:szCs w:val="28"/>
        </w:rPr>
        <w:t>480777,1</w:t>
      </w:r>
      <w:r w:rsidRPr="003249F3">
        <w:rPr>
          <w:sz w:val="28"/>
          <w:szCs w:val="28"/>
        </w:rPr>
        <w:t xml:space="preserve"> тыс. рублей или </w:t>
      </w:r>
      <w:r w:rsidR="008919DF" w:rsidRPr="003249F3">
        <w:rPr>
          <w:sz w:val="28"/>
          <w:szCs w:val="28"/>
        </w:rPr>
        <w:t>99,2</w:t>
      </w:r>
      <w:r w:rsidRPr="003249F3">
        <w:rPr>
          <w:sz w:val="28"/>
          <w:szCs w:val="28"/>
        </w:rPr>
        <w:t xml:space="preserve"> % к бюджетным назначениям, в том числе собственные доходы исполнены на </w:t>
      </w:r>
      <w:r w:rsidR="008919DF" w:rsidRPr="003249F3">
        <w:rPr>
          <w:sz w:val="28"/>
          <w:szCs w:val="28"/>
        </w:rPr>
        <w:t>97,9</w:t>
      </w:r>
      <w:r w:rsidRPr="003249F3">
        <w:rPr>
          <w:sz w:val="28"/>
          <w:szCs w:val="28"/>
        </w:rPr>
        <w:t xml:space="preserve"> % в сумме </w:t>
      </w:r>
      <w:r w:rsidR="008919DF" w:rsidRPr="003249F3">
        <w:rPr>
          <w:sz w:val="28"/>
          <w:szCs w:val="28"/>
        </w:rPr>
        <w:t>141201,8</w:t>
      </w:r>
      <w:r w:rsidRPr="003249F3">
        <w:rPr>
          <w:sz w:val="28"/>
          <w:szCs w:val="28"/>
        </w:rPr>
        <w:t xml:space="preserve"> тыс</w:t>
      </w:r>
      <w:proofErr w:type="gramStart"/>
      <w:r w:rsidRPr="003249F3">
        <w:rPr>
          <w:sz w:val="28"/>
          <w:szCs w:val="28"/>
        </w:rPr>
        <w:t>.р</w:t>
      </w:r>
      <w:proofErr w:type="gramEnd"/>
      <w:r w:rsidRPr="003249F3">
        <w:rPr>
          <w:sz w:val="28"/>
          <w:szCs w:val="28"/>
        </w:rPr>
        <w:t xml:space="preserve">ублей при плане </w:t>
      </w:r>
      <w:r w:rsidR="008919DF" w:rsidRPr="003249F3">
        <w:rPr>
          <w:sz w:val="28"/>
          <w:szCs w:val="28"/>
        </w:rPr>
        <w:t>144232,2</w:t>
      </w:r>
      <w:r w:rsidRPr="003249F3">
        <w:rPr>
          <w:sz w:val="28"/>
          <w:szCs w:val="28"/>
        </w:rPr>
        <w:t xml:space="preserve"> тыс.рублей.</w:t>
      </w:r>
    </w:p>
    <w:p w:rsidR="008919DF" w:rsidRPr="003249F3" w:rsidRDefault="008919DF" w:rsidP="00EA01D1">
      <w:pPr>
        <w:pStyle w:val="a4"/>
        <w:ind w:firstLine="720"/>
        <w:rPr>
          <w:sz w:val="28"/>
          <w:szCs w:val="28"/>
        </w:rPr>
      </w:pPr>
      <w:r w:rsidRPr="003249F3">
        <w:rPr>
          <w:sz w:val="28"/>
          <w:szCs w:val="28"/>
        </w:rPr>
        <w:t>По сравнению с соответствующим периодом прошлого года поступления по доходам увеличились на 21043,7 тыс</w:t>
      </w:r>
      <w:proofErr w:type="gramStart"/>
      <w:r w:rsidRPr="003249F3">
        <w:rPr>
          <w:sz w:val="28"/>
          <w:szCs w:val="28"/>
        </w:rPr>
        <w:t>.р</w:t>
      </w:r>
      <w:proofErr w:type="gramEnd"/>
      <w:r w:rsidRPr="003249F3">
        <w:rPr>
          <w:sz w:val="28"/>
          <w:szCs w:val="28"/>
        </w:rPr>
        <w:t>уб., значительное увеличение произошло за счет доходов от реализации имущества, налогов на имущество</w:t>
      </w:r>
      <w:r w:rsidR="003249F3" w:rsidRPr="003249F3">
        <w:rPr>
          <w:sz w:val="28"/>
          <w:szCs w:val="28"/>
        </w:rPr>
        <w:t xml:space="preserve">,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</w:t>
      </w:r>
      <w:proofErr w:type="gramStart"/>
      <w:r w:rsidR="003249F3" w:rsidRPr="003249F3">
        <w:rPr>
          <w:sz w:val="28"/>
          <w:szCs w:val="28"/>
        </w:rPr>
        <w:t xml:space="preserve">земельных участков, незначительное увеличение поступлений по единому налогу на вмененный доход для отдельных видов деятельности, государственной пошлины, по плате за негативное воздействие на окружающую среду, </w:t>
      </w:r>
      <w:r w:rsidR="003249F3">
        <w:rPr>
          <w:sz w:val="28"/>
          <w:szCs w:val="28"/>
        </w:rPr>
        <w:t>прочих доходов от компенсации затрат государства, незначительное уменьшение по налогу на доходы физических лиц, акцизов по подакцизным товарам (продукции), производимым на территории РФ, прочим поступлениям от использования имущества, находящегося в собственности сельских поселений (за исключением</w:t>
      </w:r>
      <w:proofErr w:type="gramEnd"/>
      <w:r w:rsidR="003249F3">
        <w:rPr>
          <w:sz w:val="28"/>
          <w:szCs w:val="28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EA01D1" w:rsidRPr="0057306E" w:rsidRDefault="00EA01D1" w:rsidP="00EA01D1">
      <w:pPr>
        <w:pStyle w:val="a4"/>
        <w:ind w:firstLine="720"/>
        <w:rPr>
          <w:sz w:val="28"/>
          <w:szCs w:val="28"/>
        </w:rPr>
      </w:pPr>
      <w:r w:rsidRPr="0057306E">
        <w:rPr>
          <w:sz w:val="28"/>
          <w:szCs w:val="28"/>
        </w:rPr>
        <w:t xml:space="preserve">Налог на доходы физических лиц является основным источником доходов бюджета. Плановые назначения </w:t>
      </w:r>
      <w:r w:rsidR="003249F3" w:rsidRPr="0057306E">
        <w:rPr>
          <w:sz w:val="28"/>
          <w:szCs w:val="28"/>
        </w:rPr>
        <w:t>71595,1</w:t>
      </w:r>
      <w:r w:rsidRPr="0057306E">
        <w:rPr>
          <w:sz w:val="28"/>
          <w:szCs w:val="28"/>
        </w:rPr>
        <w:t xml:space="preserve"> тыс</w:t>
      </w:r>
      <w:proofErr w:type="gramStart"/>
      <w:r w:rsidRPr="0057306E">
        <w:rPr>
          <w:sz w:val="28"/>
          <w:szCs w:val="28"/>
        </w:rPr>
        <w:t>.р</w:t>
      </w:r>
      <w:proofErr w:type="gramEnd"/>
      <w:r w:rsidRPr="0057306E">
        <w:rPr>
          <w:sz w:val="28"/>
          <w:szCs w:val="28"/>
        </w:rPr>
        <w:t xml:space="preserve">ублей, исполнено </w:t>
      </w:r>
      <w:r w:rsidR="003249F3" w:rsidRPr="0057306E">
        <w:rPr>
          <w:sz w:val="28"/>
          <w:szCs w:val="28"/>
        </w:rPr>
        <w:t>71325,4</w:t>
      </w:r>
      <w:r w:rsidRPr="0057306E">
        <w:rPr>
          <w:sz w:val="28"/>
          <w:szCs w:val="28"/>
        </w:rPr>
        <w:t xml:space="preserve"> тыс. рублей или </w:t>
      </w:r>
      <w:r w:rsidR="003249F3" w:rsidRPr="0057306E">
        <w:rPr>
          <w:sz w:val="28"/>
          <w:szCs w:val="28"/>
        </w:rPr>
        <w:t>99,6</w:t>
      </w:r>
      <w:r w:rsidRPr="0057306E">
        <w:rPr>
          <w:sz w:val="28"/>
          <w:szCs w:val="28"/>
        </w:rPr>
        <w:t xml:space="preserve"> % к плану. </w:t>
      </w:r>
      <w:r w:rsidR="009D11E9" w:rsidRPr="0057306E">
        <w:rPr>
          <w:sz w:val="28"/>
          <w:szCs w:val="28"/>
        </w:rPr>
        <w:t>По сравнению с 2014 годом поступление данного налога уменьшилось на 3091,3 тыс</w:t>
      </w:r>
      <w:proofErr w:type="gramStart"/>
      <w:r w:rsidR="009D11E9" w:rsidRPr="0057306E">
        <w:rPr>
          <w:sz w:val="28"/>
          <w:szCs w:val="28"/>
        </w:rPr>
        <w:t>.р</w:t>
      </w:r>
      <w:proofErr w:type="gramEnd"/>
      <w:r w:rsidR="009D11E9" w:rsidRPr="0057306E">
        <w:rPr>
          <w:sz w:val="28"/>
          <w:szCs w:val="28"/>
        </w:rPr>
        <w:t xml:space="preserve">уб., уменьшение обусловлено снижением </w:t>
      </w:r>
      <w:r w:rsidRPr="0057306E">
        <w:rPr>
          <w:sz w:val="28"/>
          <w:szCs w:val="28"/>
        </w:rPr>
        <w:t>норматива отчислений на 1,2562 % и имущественных налоговых вычетов налогоплательщиков по декларации за 2014 год</w:t>
      </w:r>
      <w:r w:rsidR="009D11E9" w:rsidRPr="0057306E">
        <w:rPr>
          <w:sz w:val="28"/>
          <w:szCs w:val="28"/>
        </w:rPr>
        <w:t xml:space="preserve">, </w:t>
      </w:r>
      <w:r w:rsidRPr="0057306E">
        <w:rPr>
          <w:sz w:val="28"/>
          <w:szCs w:val="28"/>
        </w:rPr>
        <w:t xml:space="preserve"> план не исполнен</w:t>
      </w:r>
      <w:r w:rsidR="009D11E9" w:rsidRPr="0057306E">
        <w:rPr>
          <w:sz w:val="28"/>
          <w:szCs w:val="28"/>
        </w:rPr>
        <w:t xml:space="preserve"> на 269,7 тыс.руб</w:t>
      </w:r>
      <w:r w:rsidRPr="0057306E">
        <w:rPr>
          <w:sz w:val="28"/>
          <w:szCs w:val="28"/>
        </w:rPr>
        <w:t xml:space="preserve">. </w:t>
      </w:r>
    </w:p>
    <w:p w:rsidR="00EA01D1" w:rsidRPr="002605BA" w:rsidRDefault="00EA01D1" w:rsidP="00EA01D1">
      <w:pPr>
        <w:pStyle w:val="a4"/>
        <w:ind w:firstLine="720"/>
        <w:rPr>
          <w:sz w:val="28"/>
          <w:szCs w:val="28"/>
        </w:rPr>
      </w:pPr>
      <w:r w:rsidRPr="002605BA">
        <w:rPr>
          <w:sz w:val="28"/>
          <w:szCs w:val="28"/>
        </w:rPr>
        <w:t xml:space="preserve">Акцизов по подакцизным товарам поступило </w:t>
      </w:r>
      <w:r w:rsidR="00A30E7E" w:rsidRPr="002605BA">
        <w:rPr>
          <w:sz w:val="28"/>
          <w:szCs w:val="28"/>
        </w:rPr>
        <w:t>1174,9</w:t>
      </w:r>
      <w:r w:rsidRPr="002605BA">
        <w:rPr>
          <w:sz w:val="28"/>
          <w:szCs w:val="28"/>
        </w:rPr>
        <w:t xml:space="preserve"> тыс. рублей или </w:t>
      </w:r>
      <w:r w:rsidR="00A30E7E" w:rsidRPr="002605BA">
        <w:rPr>
          <w:sz w:val="28"/>
          <w:szCs w:val="28"/>
        </w:rPr>
        <w:t>99,2</w:t>
      </w:r>
      <w:r w:rsidRPr="002605BA">
        <w:rPr>
          <w:sz w:val="28"/>
          <w:szCs w:val="28"/>
        </w:rPr>
        <w:t xml:space="preserve">% при плане </w:t>
      </w:r>
      <w:r w:rsidR="00A30E7E" w:rsidRPr="002605BA">
        <w:rPr>
          <w:sz w:val="28"/>
          <w:szCs w:val="28"/>
        </w:rPr>
        <w:t>1184,2</w:t>
      </w:r>
      <w:r w:rsidRPr="002605BA">
        <w:rPr>
          <w:sz w:val="28"/>
          <w:szCs w:val="28"/>
        </w:rPr>
        <w:t xml:space="preserve"> тыс. рублей</w:t>
      </w:r>
      <w:r w:rsidR="00A30E7E" w:rsidRPr="002605BA">
        <w:rPr>
          <w:sz w:val="28"/>
          <w:szCs w:val="28"/>
        </w:rPr>
        <w:t>, невыполнение плана обусловлено снижением прогнозируемых объемов реализации нефтепродуктов</w:t>
      </w:r>
      <w:r w:rsidRPr="002605BA">
        <w:rPr>
          <w:sz w:val="28"/>
          <w:szCs w:val="28"/>
        </w:rPr>
        <w:t>.</w:t>
      </w:r>
    </w:p>
    <w:p w:rsidR="00EA01D1" w:rsidRPr="002605BA" w:rsidRDefault="00EA01D1" w:rsidP="00EA01D1">
      <w:pPr>
        <w:pStyle w:val="a4"/>
        <w:ind w:firstLine="720"/>
        <w:rPr>
          <w:sz w:val="28"/>
          <w:szCs w:val="28"/>
        </w:rPr>
      </w:pPr>
      <w:r w:rsidRPr="002605BA">
        <w:rPr>
          <w:sz w:val="28"/>
          <w:szCs w:val="28"/>
        </w:rPr>
        <w:t xml:space="preserve">Единого налога на вмененный доход для отдельных видов деятельности поступило </w:t>
      </w:r>
      <w:r w:rsidR="00A30E7E" w:rsidRPr="002605BA">
        <w:rPr>
          <w:sz w:val="28"/>
          <w:szCs w:val="28"/>
        </w:rPr>
        <w:t>3908,8</w:t>
      </w:r>
      <w:r w:rsidRPr="002605BA">
        <w:rPr>
          <w:sz w:val="28"/>
          <w:szCs w:val="28"/>
        </w:rPr>
        <w:t xml:space="preserve"> тыс</w:t>
      </w:r>
      <w:proofErr w:type="gramStart"/>
      <w:r w:rsidRPr="002605BA">
        <w:rPr>
          <w:sz w:val="28"/>
          <w:szCs w:val="28"/>
        </w:rPr>
        <w:t>.р</w:t>
      </w:r>
      <w:proofErr w:type="gramEnd"/>
      <w:r w:rsidRPr="002605BA">
        <w:rPr>
          <w:sz w:val="28"/>
          <w:szCs w:val="28"/>
        </w:rPr>
        <w:t xml:space="preserve">ублей или </w:t>
      </w:r>
      <w:r w:rsidR="00A30E7E" w:rsidRPr="002605BA">
        <w:rPr>
          <w:sz w:val="28"/>
          <w:szCs w:val="28"/>
        </w:rPr>
        <w:t>100,7</w:t>
      </w:r>
      <w:r w:rsidRPr="002605BA">
        <w:rPr>
          <w:sz w:val="28"/>
          <w:szCs w:val="28"/>
        </w:rPr>
        <w:t xml:space="preserve">% при плане </w:t>
      </w:r>
      <w:r w:rsidR="00A30E7E" w:rsidRPr="002605BA">
        <w:rPr>
          <w:sz w:val="28"/>
          <w:szCs w:val="28"/>
        </w:rPr>
        <w:t>3880,0</w:t>
      </w:r>
      <w:r w:rsidRPr="002605BA">
        <w:rPr>
          <w:sz w:val="28"/>
          <w:szCs w:val="28"/>
        </w:rPr>
        <w:t xml:space="preserve"> тыс.рублей</w:t>
      </w:r>
      <w:r w:rsidR="00A30E7E" w:rsidRPr="002605BA">
        <w:rPr>
          <w:sz w:val="28"/>
          <w:szCs w:val="28"/>
        </w:rPr>
        <w:t xml:space="preserve">, что на </w:t>
      </w:r>
      <w:r w:rsidR="002605BA" w:rsidRPr="002605BA">
        <w:rPr>
          <w:sz w:val="28"/>
          <w:szCs w:val="28"/>
        </w:rPr>
        <w:t>333,2 тыс.руб. больше поступлений 2014 года, увеличение произошло за счет роста количества плательщиков данного налога</w:t>
      </w:r>
      <w:r w:rsidRPr="002605BA">
        <w:rPr>
          <w:sz w:val="28"/>
          <w:szCs w:val="28"/>
        </w:rPr>
        <w:t>.</w:t>
      </w:r>
    </w:p>
    <w:p w:rsidR="00EA01D1" w:rsidRPr="008D0C1F" w:rsidRDefault="00EA01D1" w:rsidP="00EA01D1">
      <w:pPr>
        <w:pStyle w:val="a4"/>
        <w:ind w:firstLine="720"/>
        <w:rPr>
          <w:sz w:val="28"/>
          <w:szCs w:val="28"/>
        </w:rPr>
      </w:pPr>
      <w:r w:rsidRPr="008D0C1F">
        <w:rPr>
          <w:sz w:val="28"/>
          <w:szCs w:val="28"/>
        </w:rPr>
        <w:t xml:space="preserve">Налоги на имущество поступили в сумме </w:t>
      </w:r>
      <w:r w:rsidR="008D0C1F" w:rsidRPr="008D0C1F">
        <w:rPr>
          <w:sz w:val="28"/>
          <w:szCs w:val="28"/>
        </w:rPr>
        <w:t>7752,8</w:t>
      </w:r>
      <w:r w:rsidRPr="008D0C1F">
        <w:rPr>
          <w:sz w:val="28"/>
          <w:szCs w:val="28"/>
        </w:rPr>
        <w:t xml:space="preserve"> тыс. рублей или </w:t>
      </w:r>
      <w:r w:rsidR="008D0C1F" w:rsidRPr="008D0C1F">
        <w:rPr>
          <w:sz w:val="28"/>
          <w:szCs w:val="28"/>
        </w:rPr>
        <w:t>100,2</w:t>
      </w:r>
      <w:r w:rsidRPr="008D0C1F">
        <w:rPr>
          <w:sz w:val="28"/>
          <w:szCs w:val="28"/>
        </w:rPr>
        <w:t>% к плану. По сравнению с 2014 годом поступление данных налогов увеличилось</w:t>
      </w:r>
      <w:r w:rsidR="008D0C1F" w:rsidRPr="008D0C1F">
        <w:rPr>
          <w:sz w:val="28"/>
          <w:szCs w:val="28"/>
        </w:rPr>
        <w:t xml:space="preserve"> на 2638,1 тыс</w:t>
      </w:r>
      <w:proofErr w:type="gramStart"/>
      <w:r w:rsidR="008D0C1F" w:rsidRPr="008D0C1F">
        <w:rPr>
          <w:sz w:val="28"/>
          <w:szCs w:val="28"/>
        </w:rPr>
        <w:t>.р</w:t>
      </w:r>
      <w:proofErr w:type="gramEnd"/>
      <w:r w:rsidR="008D0C1F" w:rsidRPr="008D0C1F">
        <w:rPr>
          <w:sz w:val="28"/>
          <w:szCs w:val="28"/>
        </w:rPr>
        <w:t>уб.</w:t>
      </w:r>
      <w:r w:rsidRPr="008D0C1F">
        <w:rPr>
          <w:sz w:val="28"/>
          <w:szCs w:val="28"/>
        </w:rPr>
        <w:t>, увеличение произошло в связи с оформление</w:t>
      </w:r>
      <w:r w:rsidR="003A10D5" w:rsidRPr="008D0C1F">
        <w:rPr>
          <w:sz w:val="28"/>
          <w:szCs w:val="28"/>
        </w:rPr>
        <w:t>м</w:t>
      </w:r>
      <w:r w:rsidRPr="008D0C1F">
        <w:rPr>
          <w:sz w:val="28"/>
          <w:szCs w:val="28"/>
        </w:rPr>
        <w:t xml:space="preserve"> земельных участков в собственность.</w:t>
      </w:r>
    </w:p>
    <w:p w:rsidR="00EA01D1" w:rsidRPr="008D0C1F" w:rsidRDefault="00EA01D1" w:rsidP="00EA01D1">
      <w:pPr>
        <w:pStyle w:val="a4"/>
        <w:ind w:firstLine="720"/>
        <w:rPr>
          <w:sz w:val="28"/>
          <w:szCs w:val="28"/>
        </w:rPr>
      </w:pPr>
      <w:r w:rsidRPr="008D0C1F">
        <w:rPr>
          <w:sz w:val="28"/>
          <w:szCs w:val="28"/>
        </w:rPr>
        <w:t xml:space="preserve">Государственная пошлина поступила в размере </w:t>
      </w:r>
      <w:r w:rsidR="008D0C1F" w:rsidRPr="008D0C1F">
        <w:rPr>
          <w:sz w:val="28"/>
          <w:szCs w:val="28"/>
        </w:rPr>
        <w:t>1196,0</w:t>
      </w:r>
      <w:r w:rsidRPr="008D0C1F">
        <w:rPr>
          <w:sz w:val="28"/>
          <w:szCs w:val="28"/>
        </w:rPr>
        <w:t xml:space="preserve"> тыс</w:t>
      </w:r>
      <w:proofErr w:type="gramStart"/>
      <w:r w:rsidRPr="008D0C1F">
        <w:rPr>
          <w:sz w:val="28"/>
          <w:szCs w:val="28"/>
        </w:rPr>
        <w:t>.р</w:t>
      </w:r>
      <w:proofErr w:type="gramEnd"/>
      <w:r w:rsidRPr="008D0C1F">
        <w:rPr>
          <w:sz w:val="28"/>
          <w:szCs w:val="28"/>
        </w:rPr>
        <w:t xml:space="preserve">ублей или </w:t>
      </w:r>
      <w:r w:rsidR="008D0C1F" w:rsidRPr="008D0C1F">
        <w:rPr>
          <w:sz w:val="28"/>
          <w:szCs w:val="28"/>
        </w:rPr>
        <w:t>103,8</w:t>
      </w:r>
      <w:r w:rsidRPr="008D0C1F">
        <w:rPr>
          <w:sz w:val="28"/>
          <w:szCs w:val="28"/>
        </w:rPr>
        <w:t xml:space="preserve">% плановых назначений. </w:t>
      </w:r>
      <w:r w:rsidR="008D0C1F" w:rsidRPr="008D0C1F">
        <w:rPr>
          <w:sz w:val="28"/>
          <w:szCs w:val="28"/>
        </w:rPr>
        <w:t>По сравнению с прошлым годом данные поступления увеличились на 229,4 тыс</w:t>
      </w:r>
      <w:proofErr w:type="gramStart"/>
      <w:r w:rsidR="008D0C1F" w:rsidRPr="008D0C1F">
        <w:rPr>
          <w:sz w:val="28"/>
          <w:szCs w:val="28"/>
        </w:rPr>
        <w:t>.р</w:t>
      </w:r>
      <w:proofErr w:type="gramEnd"/>
      <w:r w:rsidR="008D0C1F" w:rsidRPr="008D0C1F">
        <w:rPr>
          <w:sz w:val="28"/>
          <w:szCs w:val="28"/>
        </w:rPr>
        <w:t>уб. за счет внесенных изменений в законодательство РФ.</w:t>
      </w:r>
    </w:p>
    <w:p w:rsidR="00EA01D1" w:rsidRPr="009925DC" w:rsidRDefault="00EA01D1" w:rsidP="00EA01D1">
      <w:pPr>
        <w:pStyle w:val="a4"/>
        <w:ind w:firstLine="720"/>
        <w:rPr>
          <w:sz w:val="28"/>
          <w:szCs w:val="28"/>
        </w:rPr>
      </w:pPr>
      <w:r w:rsidRPr="009925DC">
        <w:rPr>
          <w:sz w:val="28"/>
          <w:szCs w:val="28"/>
        </w:rPr>
        <w:t xml:space="preserve">Доходы от использования имущества, находящегося в муниципальной собственности, поступили в консолидированный бюджет района в сумме </w:t>
      </w:r>
      <w:r w:rsidR="00B01F5A" w:rsidRPr="009925DC">
        <w:rPr>
          <w:sz w:val="28"/>
          <w:szCs w:val="28"/>
        </w:rPr>
        <w:lastRenderedPageBreak/>
        <w:t>23336,2</w:t>
      </w:r>
      <w:r w:rsidRPr="009925DC">
        <w:rPr>
          <w:sz w:val="28"/>
          <w:szCs w:val="28"/>
        </w:rPr>
        <w:t xml:space="preserve"> тыс</w:t>
      </w:r>
      <w:proofErr w:type="gramStart"/>
      <w:r w:rsidRPr="009925DC">
        <w:rPr>
          <w:sz w:val="28"/>
          <w:szCs w:val="28"/>
        </w:rPr>
        <w:t>.р</w:t>
      </w:r>
      <w:proofErr w:type="gramEnd"/>
      <w:r w:rsidRPr="009925DC">
        <w:rPr>
          <w:sz w:val="28"/>
          <w:szCs w:val="28"/>
        </w:rPr>
        <w:t xml:space="preserve">ублей или </w:t>
      </w:r>
      <w:r w:rsidR="00B01F5A" w:rsidRPr="009925DC">
        <w:rPr>
          <w:sz w:val="28"/>
          <w:szCs w:val="28"/>
        </w:rPr>
        <w:t>86,1</w:t>
      </w:r>
      <w:r w:rsidRPr="009925DC">
        <w:rPr>
          <w:sz w:val="28"/>
          <w:szCs w:val="28"/>
        </w:rPr>
        <w:t xml:space="preserve">% плановых назначений. По сравнению с прошлым годом поступления доходов от аренды </w:t>
      </w:r>
      <w:r w:rsidR="00B01F5A" w:rsidRPr="009925DC">
        <w:rPr>
          <w:sz w:val="28"/>
          <w:szCs w:val="28"/>
        </w:rPr>
        <w:t>увеличились на 4053,7 тыс</w:t>
      </w:r>
      <w:proofErr w:type="gramStart"/>
      <w:r w:rsidR="00B01F5A" w:rsidRPr="009925DC">
        <w:rPr>
          <w:sz w:val="28"/>
          <w:szCs w:val="28"/>
        </w:rPr>
        <w:t>.р</w:t>
      </w:r>
      <w:proofErr w:type="gramEnd"/>
      <w:r w:rsidR="00B01F5A" w:rsidRPr="009925DC">
        <w:rPr>
          <w:sz w:val="28"/>
          <w:szCs w:val="28"/>
        </w:rPr>
        <w:t>уб.</w:t>
      </w:r>
      <w:r w:rsidRPr="009925DC">
        <w:rPr>
          <w:sz w:val="28"/>
          <w:szCs w:val="28"/>
        </w:rPr>
        <w:t xml:space="preserve"> в связи </w:t>
      </w:r>
      <w:r w:rsidR="00B01F5A" w:rsidRPr="009925DC">
        <w:rPr>
          <w:sz w:val="28"/>
          <w:szCs w:val="28"/>
        </w:rPr>
        <w:t>с увеличением ставки арендной платы. Из-за задолженности по арендной плате ОАО «</w:t>
      </w:r>
      <w:proofErr w:type="spellStart"/>
      <w:r w:rsidR="00B01F5A" w:rsidRPr="009925DC">
        <w:rPr>
          <w:sz w:val="28"/>
          <w:szCs w:val="28"/>
        </w:rPr>
        <w:t>Облкоммунсервис</w:t>
      </w:r>
      <w:proofErr w:type="spellEnd"/>
      <w:r w:rsidR="00B01F5A" w:rsidRPr="009925DC">
        <w:rPr>
          <w:sz w:val="28"/>
          <w:szCs w:val="28"/>
        </w:rPr>
        <w:t>» не выполнены плановые назначения по этому показателю на сумму 3328,0 тыс</w:t>
      </w:r>
      <w:proofErr w:type="gramStart"/>
      <w:r w:rsidR="00B01F5A" w:rsidRPr="009925DC">
        <w:rPr>
          <w:sz w:val="28"/>
          <w:szCs w:val="28"/>
        </w:rPr>
        <w:t>.р</w:t>
      </w:r>
      <w:proofErr w:type="gramEnd"/>
      <w:r w:rsidR="00B01F5A" w:rsidRPr="009925DC">
        <w:rPr>
          <w:sz w:val="28"/>
          <w:szCs w:val="28"/>
        </w:rPr>
        <w:t>уб.</w:t>
      </w:r>
    </w:p>
    <w:p w:rsidR="004F6BED" w:rsidRPr="004F6BED" w:rsidRDefault="00EA01D1" w:rsidP="00EA01D1">
      <w:pPr>
        <w:pStyle w:val="a4"/>
        <w:ind w:firstLine="720"/>
        <w:rPr>
          <w:sz w:val="28"/>
          <w:szCs w:val="28"/>
        </w:rPr>
      </w:pPr>
      <w:r w:rsidRPr="004F6BED">
        <w:rPr>
          <w:sz w:val="28"/>
          <w:szCs w:val="28"/>
        </w:rPr>
        <w:t xml:space="preserve">Плата за негативное воздействие на окружающую среду поступила в сумме </w:t>
      </w:r>
      <w:r w:rsidR="00987B96" w:rsidRPr="004F6BED">
        <w:rPr>
          <w:sz w:val="28"/>
          <w:szCs w:val="28"/>
        </w:rPr>
        <w:t>530,4</w:t>
      </w:r>
      <w:r w:rsidRPr="004F6BED">
        <w:rPr>
          <w:sz w:val="28"/>
          <w:szCs w:val="28"/>
        </w:rPr>
        <w:t xml:space="preserve"> тыс</w:t>
      </w:r>
      <w:proofErr w:type="gramStart"/>
      <w:r w:rsidRPr="004F6BED">
        <w:rPr>
          <w:sz w:val="28"/>
          <w:szCs w:val="28"/>
        </w:rPr>
        <w:t>.р</w:t>
      </w:r>
      <w:proofErr w:type="gramEnd"/>
      <w:r w:rsidRPr="004F6BED">
        <w:rPr>
          <w:sz w:val="28"/>
          <w:szCs w:val="28"/>
        </w:rPr>
        <w:t xml:space="preserve">ублей, при плане </w:t>
      </w:r>
      <w:r w:rsidR="00987B96" w:rsidRPr="004F6BED">
        <w:rPr>
          <w:sz w:val="28"/>
          <w:szCs w:val="28"/>
        </w:rPr>
        <w:t>529</w:t>
      </w:r>
      <w:r w:rsidRPr="004F6BED">
        <w:rPr>
          <w:sz w:val="28"/>
          <w:szCs w:val="28"/>
        </w:rPr>
        <w:t xml:space="preserve">,0 тыс. рублей, </w:t>
      </w:r>
      <w:r w:rsidR="00987B96" w:rsidRPr="004F6BED">
        <w:rPr>
          <w:sz w:val="28"/>
          <w:szCs w:val="28"/>
        </w:rPr>
        <w:t xml:space="preserve">это на 94,1 тыс.руб. больше поступлений за 2014 год. </w:t>
      </w:r>
      <w:proofErr w:type="gramStart"/>
      <w:r w:rsidR="00987B96" w:rsidRPr="004F6BED">
        <w:rPr>
          <w:sz w:val="28"/>
          <w:szCs w:val="28"/>
        </w:rPr>
        <w:t xml:space="preserve">Так как платежи представляют собой форму возмещения экономического ущерба и являются обязательными публично-правовыми платежами, носят индивидуально-возмездный и компенсационный характер, а также </w:t>
      </w:r>
      <w:r w:rsidR="001C13B1" w:rsidRPr="004F6BED">
        <w:rPr>
          <w:sz w:val="28"/>
          <w:szCs w:val="28"/>
        </w:rPr>
        <w:t xml:space="preserve">являются по своей природе не налогом, а фискальным сбором, сумма платы не является величиной постоянной и может изменяться как в сторону увеличения, </w:t>
      </w:r>
      <w:r w:rsidR="004F6BED" w:rsidRPr="004F6BED">
        <w:rPr>
          <w:sz w:val="28"/>
          <w:szCs w:val="28"/>
        </w:rPr>
        <w:t>так и в сторону уменьшения в зависимости от многих факторов.</w:t>
      </w:r>
      <w:proofErr w:type="gramEnd"/>
    </w:p>
    <w:p w:rsidR="00EA01D1" w:rsidRPr="0082005F" w:rsidRDefault="00EA01D1" w:rsidP="00EA01D1">
      <w:pPr>
        <w:pStyle w:val="a4"/>
        <w:ind w:firstLine="720"/>
        <w:rPr>
          <w:sz w:val="28"/>
          <w:szCs w:val="28"/>
        </w:rPr>
      </w:pPr>
      <w:r w:rsidRPr="0082005F">
        <w:rPr>
          <w:sz w:val="28"/>
          <w:szCs w:val="28"/>
        </w:rPr>
        <w:t xml:space="preserve">Доходы от оказания платных услуг (работ) и компенсации затрат государства поступили в сумме </w:t>
      </w:r>
      <w:r w:rsidR="0082005F" w:rsidRPr="0082005F">
        <w:rPr>
          <w:sz w:val="28"/>
          <w:szCs w:val="28"/>
        </w:rPr>
        <w:t>433,5</w:t>
      </w:r>
      <w:r w:rsidRPr="0082005F">
        <w:rPr>
          <w:sz w:val="28"/>
          <w:szCs w:val="28"/>
        </w:rPr>
        <w:t xml:space="preserve"> тыс</w:t>
      </w:r>
      <w:r w:rsidR="003A10D5" w:rsidRPr="0082005F">
        <w:rPr>
          <w:sz w:val="28"/>
          <w:szCs w:val="28"/>
        </w:rPr>
        <w:t xml:space="preserve">. рублей или </w:t>
      </w:r>
      <w:r w:rsidR="0082005F" w:rsidRPr="0082005F">
        <w:rPr>
          <w:sz w:val="28"/>
          <w:szCs w:val="28"/>
        </w:rPr>
        <w:t>100,6</w:t>
      </w:r>
      <w:r w:rsidRPr="0082005F">
        <w:rPr>
          <w:sz w:val="28"/>
          <w:szCs w:val="28"/>
        </w:rPr>
        <w:t>% плановых назначений.</w:t>
      </w:r>
      <w:r w:rsidR="0082005F" w:rsidRPr="0082005F">
        <w:rPr>
          <w:sz w:val="28"/>
          <w:szCs w:val="28"/>
        </w:rPr>
        <w:t xml:space="preserve"> По сравнению с прошлым годом данные поступления увеличились на 287,8 тыс</w:t>
      </w:r>
      <w:proofErr w:type="gramStart"/>
      <w:r w:rsidR="0082005F" w:rsidRPr="0082005F">
        <w:rPr>
          <w:sz w:val="28"/>
          <w:szCs w:val="28"/>
        </w:rPr>
        <w:t>.р</w:t>
      </w:r>
      <w:proofErr w:type="gramEnd"/>
      <w:r w:rsidR="0082005F" w:rsidRPr="0082005F">
        <w:rPr>
          <w:sz w:val="28"/>
          <w:szCs w:val="28"/>
        </w:rPr>
        <w:t>уб. за счет увеличения компенсаций затрат.</w:t>
      </w:r>
    </w:p>
    <w:p w:rsidR="00EA01D1" w:rsidRPr="0082005F" w:rsidRDefault="00EA01D1" w:rsidP="00EA01D1">
      <w:pPr>
        <w:pStyle w:val="a4"/>
        <w:ind w:firstLine="720"/>
        <w:rPr>
          <w:sz w:val="28"/>
          <w:szCs w:val="28"/>
        </w:rPr>
      </w:pPr>
      <w:r w:rsidRPr="0082005F">
        <w:rPr>
          <w:sz w:val="28"/>
          <w:szCs w:val="28"/>
        </w:rPr>
        <w:t xml:space="preserve">Доходы от реализации имущества и продажи земельных участков поступили в сумме </w:t>
      </w:r>
      <w:r w:rsidR="0082005F" w:rsidRPr="0082005F">
        <w:rPr>
          <w:sz w:val="28"/>
          <w:szCs w:val="28"/>
        </w:rPr>
        <w:t>30234,8</w:t>
      </w:r>
      <w:r w:rsidRPr="0082005F">
        <w:rPr>
          <w:sz w:val="28"/>
          <w:szCs w:val="28"/>
        </w:rPr>
        <w:t xml:space="preserve"> тыс. рублей или </w:t>
      </w:r>
      <w:r w:rsidR="0082005F" w:rsidRPr="0082005F">
        <w:rPr>
          <w:sz w:val="28"/>
          <w:szCs w:val="28"/>
        </w:rPr>
        <w:t>103,1</w:t>
      </w:r>
      <w:r w:rsidRPr="0082005F">
        <w:rPr>
          <w:sz w:val="28"/>
          <w:szCs w:val="28"/>
        </w:rPr>
        <w:t xml:space="preserve">% плановых назначений. </w:t>
      </w:r>
      <w:r w:rsidR="0082005F" w:rsidRPr="0082005F">
        <w:rPr>
          <w:sz w:val="28"/>
          <w:szCs w:val="28"/>
        </w:rPr>
        <w:t>По отношению к 2014 году показатель увеличился на 16488,4 тыс</w:t>
      </w:r>
      <w:proofErr w:type="gramStart"/>
      <w:r w:rsidR="0082005F" w:rsidRPr="0082005F">
        <w:rPr>
          <w:sz w:val="28"/>
          <w:szCs w:val="28"/>
        </w:rPr>
        <w:t>.р</w:t>
      </w:r>
      <w:proofErr w:type="gramEnd"/>
      <w:r w:rsidR="0082005F" w:rsidRPr="0082005F">
        <w:rPr>
          <w:sz w:val="28"/>
          <w:szCs w:val="28"/>
        </w:rPr>
        <w:t xml:space="preserve">уб. по причине продажи в 2015 году земель сельскохозяйственного назначения </w:t>
      </w:r>
      <w:proofErr w:type="spellStart"/>
      <w:r w:rsidR="0082005F" w:rsidRPr="0082005F">
        <w:rPr>
          <w:sz w:val="28"/>
          <w:szCs w:val="28"/>
        </w:rPr>
        <w:t>Чесноковским</w:t>
      </w:r>
      <w:proofErr w:type="spellEnd"/>
      <w:r w:rsidR="0082005F" w:rsidRPr="0082005F">
        <w:rPr>
          <w:sz w:val="28"/>
          <w:szCs w:val="28"/>
        </w:rPr>
        <w:t xml:space="preserve">, </w:t>
      </w:r>
      <w:proofErr w:type="spellStart"/>
      <w:r w:rsidR="0082005F" w:rsidRPr="0082005F">
        <w:rPr>
          <w:sz w:val="28"/>
          <w:szCs w:val="28"/>
        </w:rPr>
        <w:t>Коршуновским</w:t>
      </w:r>
      <w:proofErr w:type="spellEnd"/>
      <w:r w:rsidR="0082005F" w:rsidRPr="0082005F">
        <w:rPr>
          <w:sz w:val="28"/>
          <w:szCs w:val="28"/>
        </w:rPr>
        <w:t xml:space="preserve">, </w:t>
      </w:r>
      <w:proofErr w:type="spellStart"/>
      <w:r w:rsidR="0082005F" w:rsidRPr="0082005F">
        <w:rPr>
          <w:sz w:val="28"/>
          <w:szCs w:val="28"/>
        </w:rPr>
        <w:t>Димским</w:t>
      </w:r>
      <w:proofErr w:type="spellEnd"/>
      <w:r w:rsidR="0082005F" w:rsidRPr="0082005F">
        <w:rPr>
          <w:sz w:val="28"/>
          <w:szCs w:val="28"/>
        </w:rPr>
        <w:t xml:space="preserve">, Калининским, Михайловским, </w:t>
      </w:r>
      <w:proofErr w:type="spellStart"/>
      <w:r w:rsidR="0082005F" w:rsidRPr="0082005F">
        <w:rPr>
          <w:sz w:val="28"/>
          <w:szCs w:val="28"/>
        </w:rPr>
        <w:t>Воскресеновским</w:t>
      </w:r>
      <w:proofErr w:type="spellEnd"/>
      <w:r w:rsidR="0082005F" w:rsidRPr="0082005F">
        <w:rPr>
          <w:sz w:val="28"/>
          <w:szCs w:val="28"/>
        </w:rPr>
        <w:t xml:space="preserve">, </w:t>
      </w:r>
      <w:proofErr w:type="spellStart"/>
      <w:r w:rsidR="0082005F" w:rsidRPr="0082005F">
        <w:rPr>
          <w:sz w:val="28"/>
          <w:szCs w:val="28"/>
        </w:rPr>
        <w:t>Нижнеиьиновским</w:t>
      </w:r>
      <w:proofErr w:type="spellEnd"/>
      <w:r w:rsidR="0082005F" w:rsidRPr="0082005F">
        <w:rPr>
          <w:sz w:val="28"/>
          <w:szCs w:val="28"/>
        </w:rPr>
        <w:t xml:space="preserve"> сельсоветами, а также реализации муниципального имущества района. </w:t>
      </w:r>
    </w:p>
    <w:p w:rsidR="00EA01D1" w:rsidRPr="002C7979" w:rsidRDefault="00EA01D1" w:rsidP="00EA01D1">
      <w:pPr>
        <w:pStyle w:val="a4"/>
        <w:ind w:firstLine="720"/>
        <w:rPr>
          <w:sz w:val="28"/>
          <w:szCs w:val="28"/>
          <w:highlight w:val="yellow"/>
        </w:rPr>
      </w:pPr>
      <w:r w:rsidRPr="002C7979">
        <w:rPr>
          <w:sz w:val="28"/>
          <w:szCs w:val="28"/>
        </w:rPr>
        <w:t xml:space="preserve">Штрафных санкций поступило в районный бюджет </w:t>
      </w:r>
      <w:r w:rsidR="002C7979" w:rsidRPr="002C7979">
        <w:rPr>
          <w:sz w:val="28"/>
          <w:szCs w:val="28"/>
        </w:rPr>
        <w:t>935,3</w:t>
      </w:r>
      <w:r w:rsidRPr="002C7979">
        <w:rPr>
          <w:sz w:val="28"/>
          <w:szCs w:val="28"/>
        </w:rPr>
        <w:t xml:space="preserve"> тыс</w:t>
      </w:r>
      <w:proofErr w:type="gramStart"/>
      <w:r w:rsidRPr="002C7979">
        <w:rPr>
          <w:sz w:val="28"/>
          <w:szCs w:val="28"/>
        </w:rPr>
        <w:t>.р</w:t>
      </w:r>
      <w:proofErr w:type="gramEnd"/>
      <w:r w:rsidRPr="002C7979">
        <w:rPr>
          <w:sz w:val="28"/>
          <w:szCs w:val="28"/>
        </w:rPr>
        <w:t xml:space="preserve">ублей, что составило </w:t>
      </w:r>
      <w:r w:rsidR="002C7979" w:rsidRPr="002C7979">
        <w:rPr>
          <w:sz w:val="28"/>
          <w:szCs w:val="28"/>
        </w:rPr>
        <w:t>101,8</w:t>
      </w:r>
      <w:r w:rsidRPr="002C7979">
        <w:rPr>
          <w:sz w:val="28"/>
          <w:szCs w:val="28"/>
        </w:rPr>
        <w:t xml:space="preserve"> % плановых назначений. </w:t>
      </w:r>
    </w:p>
    <w:p w:rsidR="00EA01D1" w:rsidRPr="002C7979" w:rsidRDefault="00EA01D1" w:rsidP="00EA01D1">
      <w:pPr>
        <w:pStyle w:val="3"/>
        <w:ind w:firstLine="720"/>
        <w:jc w:val="both"/>
        <w:rPr>
          <w:b w:val="0"/>
          <w:sz w:val="28"/>
          <w:szCs w:val="28"/>
        </w:rPr>
      </w:pPr>
      <w:r w:rsidRPr="002C7979">
        <w:rPr>
          <w:b w:val="0"/>
          <w:sz w:val="28"/>
          <w:szCs w:val="28"/>
        </w:rPr>
        <w:t xml:space="preserve">Кассовые расходы бюджета Михайловского района (без учета внутренних оборотов) за </w:t>
      </w:r>
      <w:r w:rsidR="002C7979" w:rsidRPr="002C7979">
        <w:rPr>
          <w:b w:val="0"/>
          <w:sz w:val="28"/>
          <w:szCs w:val="28"/>
        </w:rPr>
        <w:t>2015 год</w:t>
      </w:r>
      <w:r w:rsidRPr="002C7979">
        <w:rPr>
          <w:b w:val="0"/>
          <w:sz w:val="28"/>
          <w:szCs w:val="28"/>
        </w:rPr>
        <w:t xml:space="preserve"> составили </w:t>
      </w:r>
      <w:r w:rsidR="002C7979" w:rsidRPr="002C7979">
        <w:rPr>
          <w:b w:val="0"/>
          <w:sz w:val="28"/>
          <w:szCs w:val="28"/>
        </w:rPr>
        <w:t>482325,2</w:t>
      </w:r>
      <w:r w:rsidRPr="002C7979">
        <w:rPr>
          <w:b w:val="0"/>
          <w:sz w:val="28"/>
          <w:szCs w:val="28"/>
        </w:rPr>
        <w:t xml:space="preserve"> тыс</w:t>
      </w:r>
      <w:proofErr w:type="gramStart"/>
      <w:r w:rsidRPr="002C7979">
        <w:rPr>
          <w:b w:val="0"/>
          <w:sz w:val="28"/>
          <w:szCs w:val="28"/>
        </w:rPr>
        <w:t>.р</w:t>
      </w:r>
      <w:proofErr w:type="gramEnd"/>
      <w:r w:rsidRPr="002C7979">
        <w:rPr>
          <w:b w:val="0"/>
          <w:sz w:val="28"/>
          <w:szCs w:val="28"/>
        </w:rPr>
        <w:t xml:space="preserve">ублей при бюджетных назначениях </w:t>
      </w:r>
      <w:r w:rsidR="002C7979" w:rsidRPr="002C7979">
        <w:rPr>
          <w:b w:val="0"/>
          <w:sz w:val="28"/>
          <w:szCs w:val="28"/>
        </w:rPr>
        <w:t>490245,3</w:t>
      </w:r>
      <w:r w:rsidRPr="002C7979">
        <w:rPr>
          <w:b w:val="0"/>
          <w:sz w:val="28"/>
          <w:szCs w:val="28"/>
        </w:rPr>
        <w:t xml:space="preserve"> тыс.рублей, исполнение – </w:t>
      </w:r>
      <w:r w:rsidR="002C7979" w:rsidRPr="002C7979">
        <w:rPr>
          <w:b w:val="0"/>
          <w:sz w:val="28"/>
          <w:szCs w:val="28"/>
        </w:rPr>
        <w:t>98,4</w:t>
      </w:r>
      <w:r w:rsidRPr="002C7979">
        <w:rPr>
          <w:b w:val="0"/>
          <w:sz w:val="28"/>
          <w:szCs w:val="28"/>
        </w:rPr>
        <w:t xml:space="preserve"> %. </w:t>
      </w:r>
    </w:p>
    <w:p w:rsidR="00EA01D1" w:rsidRPr="00E840FF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</w:pPr>
      <w:r w:rsidRPr="00E840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Среднемесячная заработная плата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одного работающего (без выплат социального характера)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2015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предприятиях, не относящихся к субъектам малого предпринимательства,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Михайловского района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сложилась в размере </w:t>
      </w:r>
      <w:r w:rsidR="00D67A6D">
        <w:rPr>
          <w:rFonts w:ascii="Times New Roman" w:hAnsi="Times New Roman" w:cs="Times New Roman"/>
          <w:color w:val="000000"/>
          <w:spacing w:val="-2"/>
          <w:sz w:val="28"/>
          <w:szCs w:val="28"/>
        </w:rPr>
        <w:t>27169,1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рубля и увеличилась по сравнению с 201</w:t>
      </w:r>
      <w:r w:rsidR="00E51355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D67A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годом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</w:t>
      </w:r>
      <w:r w:rsidR="00D67A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6,6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%.</w:t>
      </w:r>
    </w:p>
    <w:p w:rsidR="00EA01D1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FF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заработной плате</w:t>
      </w:r>
      <w:r w:rsidRPr="00E8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840FF">
        <w:rPr>
          <w:rFonts w:ascii="Times New Roman" w:hAnsi="Times New Roman" w:cs="Times New Roman"/>
          <w:sz w:val="28"/>
          <w:szCs w:val="28"/>
        </w:rPr>
        <w:t xml:space="preserve">1 </w:t>
      </w:r>
      <w:r w:rsidR="00D67A6D">
        <w:rPr>
          <w:rFonts w:ascii="Times New Roman" w:hAnsi="Times New Roman" w:cs="Times New Roman"/>
          <w:sz w:val="28"/>
          <w:szCs w:val="28"/>
        </w:rPr>
        <w:t>января</w:t>
      </w:r>
      <w:r w:rsidR="00AA0A4D">
        <w:rPr>
          <w:rFonts w:ascii="Times New Roman" w:hAnsi="Times New Roman" w:cs="Times New Roman"/>
          <w:sz w:val="28"/>
          <w:szCs w:val="28"/>
        </w:rPr>
        <w:t xml:space="preserve"> </w:t>
      </w:r>
      <w:r w:rsidR="00D67A6D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 </w:t>
      </w:r>
    </w:p>
    <w:p w:rsidR="006B3C6A" w:rsidRDefault="006B3C6A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ресурсы.</w:t>
      </w:r>
    </w:p>
    <w:p w:rsidR="00EA01D1" w:rsidRPr="00D60747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трудовых ресурсов составляет </w:t>
      </w:r>
      <w:r w:rsidR="00D67A6D">
        <w:rPr>
          <w:rFonts w:ascii="Times New Roman" w:hAnsi="Times New Roman" w:cs="Times New Roman"/>
          <w:sz w:val="28"/>
          <w:szCs w:val="28"/>
        </w:rPr>
        <w:t>8060</w:t>
      </w:r>
      <w:r w:rsidRPr="008B1773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по району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8B1773">
        <w:rPr>
          <w:rFonts w:ascii="Times New Roman" w:hAnsi="Times New Roman" w:cs="Times New Roman"/>
          <w:sz w:val="28"/>
          <w:szCs w:val="28"/>
        </w:rPr>
        <w:t xml:space="preserve"> </w:t>
      </w:r>
      <w:r w:rsidR="00D67A6D">
        <w:rPr>
          <w:rFonts w:ascii="Times New Roman" w:hAnsi="Times New Roman" w:cs="Times New Roman"/>
          <w:sz w:val="28"/>
          <w:szCs w:val="28"/>
        </w:rPr>
        <w:t>4895</w:t>
      </w:r>
      <w:r w:rsidRPr="00796248">
        <w:rPr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D60747">
        <w:rPr>
          <w:rFonts w:ascii="Times New Roman" w:eastAsia="Calibri" w:hAnsi="Times New Roman" w:cs="Times New Roman"/>
          <w:sz w:val="28"/>
          <w:szCs w:val="28"/>
        </w:rPr>
        <w:t>Численность безработных граждан по состоянию на 01.</w:t>
      </w:r>
      <w:r w:rsidR="00D67A6D">
        <w:rPr>
          <w:rFonts w:ascii="Times New Roman" w:eastAsia="Calibri" w:hAnsi="Times New Roman" w:cs="Times New Roman"/>
          <w:sz w:val="28"/>
          <w:szCs w:val="28"/>
        </w:rPr>
        <w:t>01</w:t>
      </w:r>
      <w:r w:rsidRPr="00D60747">
        <w:rPr>
          <w:rFonts w:ascii="Times New Roman" w:eastAsia="Calibri" w:hAnsi="Times New Roman" w:cs="Times New Roman"/>
          <w:sz w:val="28"/>
          <w:szCs w:val="28"/>
        </w:rPr>
        <w:t>.201</w:t>
      </w:r>
      <w:r w:rsidR="00D67A6D">
        <w:rPr>
          <w:rFonts w:ascii="Times New Roman" w:eastAsia="Calibri" w:hAnsi="Times New Roman" w:cs="Times New Roman"/>
          <w:sz w:val="28"/>
          <w:szCs w:val="28"/>
        </w:rPr>
        <w:t>6</w:t>
      </w:r>
      <w:r w:rsidRPr="00D60747">
        <w:rPr>
          <w:rFonts w:ascii="Times New Roman" w:eastAsia="Calibri" w:hAnsi="Times New Roman" w:cs="Times New Roman"/>
          <w:sz w:val="28"/>
          <w:szCs w:val="28"/>
        </w:rPr>
        <w:t xml:space="preserve">г. составило </w:t>
      </w:r>
      <w:r w:rsidR="00D67A6D">
        <w:rPr>
          <w:rFonts w:ascii="Times New Roman" w:eastAsia="Calibri" w:hAnsi="Times New Roman" w:cs="Times New Roman"/>
          <w:sz w:val="28"/>
          <w:szCs w:val="28"/>
        </w:rPr>
        <w:t>336</w:t>
      </w:r>
      <w:r w:rsidRPr="00D60747">
        <w:rPr>
          <w:rFonts w:ascii="Times New Roman" w:eastAsia="Calibri" w:hAnsi="Times New Roman" w:cs="Times New Roman"/>
          <w:sz w:val="28"/>
          <w:szCs w:val="28"/>
        </w:rPr>
        <w:t xml:space="preserve"> человек. Уровень безработицы сложился в размере 3,</w:t>
      </w:r>
      <w:r w:rsidR="00D60747" w:rsidRPr="00D60747">
        <w:rPr>
          <w:rFonts w:ascii="Times New Roman" w:eastAsia="Calibri" w:hAnsi="Times New Roman" w:cs="Times New Roman"/>
          <w:sz w:val="28"/>
          <w:szCs w:val="28"/>
        </w:rPr>
        <w:t>6</w:t>
      </w:r>
      <w:r w:rsidRPr="00D60747">
        <w:rPr>
          <w:rFonts w:ascii="Times New Roman" w:eastAsia="Calibri" w:hAnsi="Times New Roman" w:cs="Times New Roman"/>
          <w:sz w:val="28"/>
          <w:szCs w:val="28"/>
        </w:rPr>
        <w:t>%.</w:t>
      </w:r>
      <w:r w:rsidRPr="00D60747">
        <w:rPr>
          <w:rFonts w:ascii="Times New Roman" w:hAnsi="Times New Roman" w:cs="Times New Roman"/>
          <w:sz w:val="28"/>
          <w:szCs w:val="28"/>
        </w:rPr>
        <w:t xml:space="preserve"> </w:t>
      </w:r>
      <w:r w:rsidRPr="00D6074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67A6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D60747">
        <w:rPr>
          <w:rFonts w:ascii="Times New Roman" w:eastAsia="Calibri" w:hAnsi="Times New Roman" w:cs="Times New Roman"/>
          <w:sz w:val="28"/>
          <w:szCs w:val="28"/>
        </w:rPr>
        <w:t xml:space="preserve"> было уволено по сокращению численности – 44 чел., из них трудоустроено – </w:t>
      </w:r>
      <w:r w:rsidR="00D60747" w:rsidRPr="00D60747">
        <w:rPr>
          <w:rFonts w:ascii="Times New Roman" w:eastAsia="Calibri" w:hAnsi="Times New Roman" w:cs="Times New Roman"/>
          <w:sz w:val="28"/>
          <w:szCs w:val="28"/>
        </w:rPr>
        <w:t>6</w:t>
      </w:r>
      <w:r w:rsidRPr="00D60747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6B3C6A" w:rsidRDefault="006B3C6A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EA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43EA">
        <w:rPr>
          <w:rFonts w:ascii="Times New Roman" w:hAnsi="Times New Roman" w:cs="Times New Roman"/>
          <w:sz w:val="28"/>
          <w:szCs w:val="28"/>
        </w:rPr>
        <w:t>населения Михайл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на 01.01.2015 г. </w:t>
      </w:r>
      <w:r w:rsidRPr="00EA43EA">
        <w:rPr>
          <w:rFonts w:ascii="Times New Roman" w:hAnsi="Times New Roman" w:cs="Times New Roman"/>
          <w:sz w:val="28"/>
          <w:szCs w:val="28"/>
        </w:rPr>
        <w:t>составила 14199 человек</w:t>
      </w:r>
      <w:r>
        <w:t xml:space="preserve">. </w:t>
      </w:r>
      <w:r w:rsidRPr="00B442D1">
        <w:rPr>
          <w:rFonts w:ascii="Times New Roman" w:hAnsi="Times New Roman" w:cs="Times New Roman"/>
          <w:sz w:val="28"/>
          <w:szCs w:val="28"/>
        </w:rPr>
        <w:t>В январе-</w:t>
      </w:r>
      <w:r w:rsidR="00D67A6D">
        <w:rPr>
          <w:rFonts w:ascii="Times New Roman" w:hAnsi="Times New Roman" w:cs="Times New Roman"/>
          <w:sz w:val="28"/>
          <w:szCs w:val="28"/>
        </w:rPr>
        <w:t>ноябре</w:t>
      </w:r>
      <w:r w:rsidRPr="00B442D1">
        <w:rPr>
          <w:rFonts w:ascii="Times New Roman" w:hAnsi="Times New Roman" w:cs="Times New Roman"/>
          <w:sz w:val="28"/>
          <w:szCs w:val="28"/>
        </w:rPr>
        <w:t xml:space="preserve"> наблюдалась естественная убыль населения района, которая составила </w:t>
      </w:r>
      <w:r w:rsidR="00A332C8">
        <w:rPr>
          <w:rFonts w:ascii="Times New Roman" w:hAnsi="Times New Roman" w:cs="Times New Roman"/>
          <w:sz w:val="28"/>
          <w:szCs w:val="28"/>
        </w:rPr>
        <w:t>19</w:t>
      </w:r>
      <w:r w:rsidRPr="00B442D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7B538A">
        <w:rPr>
          <w:rFonts w:ascii="Times New Roman" w:hAnsi="Times New Roman" w:cs="Times New Roman"/>
          <w:sz w:val="28"/>
          <w:szCs w:val="28"/>
        </w:rPr>
        <w:t xml:space="preserve">показатель сохранен на уровне 2014 года. </w:t>
      </w:r>
      <w:r>
        <w:rPr>
          <w:rFonts w:ascii="Times New Roman" w:hAnsi="Times New Roman" w:cs="Times New Roman"/>
          <w:sz w:val="28"/>
          <w:szCs w:val="28"/>
        </w:rPr>
        <w:t xml:space="preserve">Миграционный отток населения за </w:t>
      </w:r>
      <w:r w:rsidR="001D159C">
        <w:rPr>
          <w:rFonts w:ascii="Times New Roman" w:hAnsi="Times New Roman" w:cs="Times New Roman"/>
          <w:sz w:val="28"/>
          <w:szCs w:val="28"/>
        </w:rPr>
        <w:t>восемь месяцев 2015 года составил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9C">
        <w:rPr>
          <w:rFonts w:ascii="Times New Roman" w:hAnsi="Times New Roman" w:cs="Times New Roman"/>
          <w:sz w:val="28"/>
          <w:szCs w:val="28"/>
        </w:rPr>
        <w:t>человек (количество выбывших равно числу прибывших)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1D1" w:rsidRDefault="00EA01D1" w:rsidP="00EA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D1" w:rsidRPr="00E309CA" w:rsidRDefault="00EA01D1" w:rsidP="00EA0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CA">
        <w:rPr>
          <w:rFonts w:ascii="Times New Roman" w:hAnsi="Times New Roman" w:cs="Times New Roman"/>
          <w:sz w:val="24"/>
          <w:szCs w:val="24"/>
        </w:rPr>
        <w:t>Динамика основных социально-экономических показателей</w:t>
      </w:r>
    </w:p>
    <w:tbl>
      <w:tblPr>
        <w:tblStyle w:val="a3"/>
        <w:tblW w:w="9606" w:type="dxa"/>
        <w:tblLook w:val="04A0"/>
      </w:tblPr>
      <w:tblGrid>
        <w:gridCol w:w="3794"/>
        <w:gridCol w:w="1336"/>
        <w:gridCol w:w="1766"/>
        <w:gridCol w:w="1150"/>
        <w:gridCol w:w="1560"/>
      </w:tblGrid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6" w:type="dxa"/>
          </w:tcPr>
          <w:p w:rsidR="00EA01D1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332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50" w:type="dxa"/>
          </w:tcPr>
          <w:p w:rsidR="00EA01D1" w:rsidRPr="008B7C26" w:rsidRDefault="00EA01D1" w:rsidP="00A3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332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60" w:type="dxa"/>
          </w:tcPr>
          <w:p w:rsidR="00EA01D1" w:rsidRPr="008B7C26" w:rsidRDefault="00EA01D1" w:rsidP="00A3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 % к январю-</w:t>
            </w:r>
            <w:r w:rsidR="00A332C8">
              <w:rPr>
                <w:rFonts w:ascii="Times New Roman" w:hAnsi="Times New Roman" w:cs="Times New Roman"/>
                <w:sz w:val="24"/>
                <w:szCs w:val="24"/>
              </w:rPr>
              <w:t xml:space="preserve">ноябрю 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Число учтенных субъектов хозяйствования всех видов экономической деятельности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6" w:type="dxa"/>
          </w:tcPr>
          <w:p w:rsidR="00EA01D1" w:rsidRPr="008B7C26" w:rsidRDefault="00221C66" w:rsidP="006B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50" w:type="dxa"/>
          </w:tcPr>
          <w:p w:rsidR="00EA01D1" w:rsidRPr="008B7C26" w:rsidRDefault="00EA01D1" w:rsidP="0022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1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A01D1" w:rsidRPr="008B7C26" w:rsidRDefault="004F692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6" w:type="dxa"/>
          </w:tcPr>
          <w:p w:rsidR="00EA01D1" w:rsidRPr="008B7C26" w:rsidRDefault="006B5E82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50" w:type="dxa"/>
          </w:tcPr>
          <w:p w:rsidR="00EA01D1" w:rsidRPr="008B7C26" w:rsidRDefault="00221C6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60" w:type="dxa"/>
          </w:tcPr>
          <w:p w:rsidR="00EA01D1" w:rsidRPr="008B7C26" w:rsidRDefault="004F692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8B7C26" w:rsidRDefault="00221C6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727427</w:t>
            </w:r>
          </w:p>
        </w:tc>
        <w:tc>
          <w:tcPr>
            <w:tcW w:w="1150" w:type="dxa"/>
          </w:tcPr>
          <w:p w:rsidR="00EA01D1" w:rsidRPr="008B7C26" w:rsidRDefault="00221C6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493129</w:t>
            </w:r>
          </w:p>
        </w:tc>
        <w:tc>
          <w:tcPr>
            <w:tcW w:w="1560" w:type="dxa"/>
          </w:tcPr>
          <w:p w:rsidR="00EA01D1" w:rsidRPr="008B7C26" w:rsidRDefault="004F6921" w:rsidP="000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8B7C26" w:rsidRDefault="006B5E82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150" w:type="dxa"/>
          </w:tcPr>
          <w:p w:rsidR="00EA01D1" w:rsidRPr="008B7C26" w:rsidRDefault="006B5E82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560" w:type="dxa"/>
          </w:tcPr>
          <w:p w:rsidR="00EA01D1" w:rsidRPr="008B7C26" w:rsidRDefault="006B5E82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8B7C26" w:rsidRDefault="00221C6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62219</w:t>
            </w:r>
          </w:p>
        </w:tc>
        <w:tc>
          <w:tcPr>
            <w:tcW w:w="1150" w:type="dxa"/>
          </w:tcPr>
          <w:p w:rsidR="00EA01D1" w:rsidRPr="008B7C26" w:rsidRDefault="00221C6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46956</w:t>
            </w:r>
          </w:p>
        </w:tc>
        <w:tc>
          <w:tcPr>
            <w:tcW w:w="1560" w:type="dxa"/>
          </w:tcPr>
          <w:p w:rsidR="00EA01D1" w:rsidRPr="008B7C26" w:rsidRDefault="004F692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8B7C26" w:rsidRDefault="00221C6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1150" w:type="dxa"/>
          </w:tcPr>
          <w:p w:rsidR="00EA01D1" w:rsidRPr="008B7C26" w:rsidRDefault="000C39F0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378598</w:t>
            </w:r>
          </w:p>
        </w:tc>
        <w:tc>
          <w:tcPr>
            <w:tcW w:w="1560" w:type="dxa"/>
          </w:tcPr>
          <w:p w:rsidR="00EA01D1" w:rsidRPr="008B7C26" w:rsidRDefault="004F692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6" w:type="dxa"/>
          </w:tcPr>
          <w:p w:rsidR="00EA01D1" w:rsidRPr="008B7C26" w:rsidRDefault="000C39F0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27169,1</w:t>
            </w:r>
          </w:p>
        </w:tc>
        <w:tc>
          <w:tcPr>
            <w:tcW w:w="1150" w:type="dxa"/>
          </w:tcPr>
          <w:p w:rsidR="00EA01D1" w:rsidRPr="008B7C26" w:rsidRDefault="000C39F0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25732,5</w:t>
            </w:r>
          </w:p>
        </w:tc>
        <w:tc>
          <w:tcPr>
            <w:tcW w:w="1560" w:type="dxa"/>
          </w:tcPr>
          <w:p w:rsidR="00EA01D1" w:rsidRPr="008B7C26" w:rsidRDefault="004F692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EA01D1" w:rsidRPr="00655793" w:rsidRDefault="000C39F0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50" w:type="dxa"/>
          </w:tcPr>
          <w:p w:rsidR="00EA01D1" w:rsidRPr="00655793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9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</w:tcPr>
          <w:p w:rsidR="00EA01D1" w:rsidRPr="00655793" w:rsidRDefault="004F692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655793" w:rsidRDefault="000C39F0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480,8</w:t>
            </w:r>
          </w:p>
        </w:tc>
        <w:tc>
          <w:tcPr>
            <w:tcW w:w="1150" w:type="dxa"/>
          </w:tcPr>
          <w:p w:rsidR="00EA01D1" w:rsidRPr="00655793" w:rsidRDefault="000C39F0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</w:t>
            </w:r>
          </w:p>
        </w:tc>
        <w:tc>
          <w:tcPr>
            <w:tcW w:w="1560" w:type="dxa"/>
          </w:tcPr>
          <w:p w:rsidR="00EA01D1" w:rsidRPr="00655793" w:rsidRDefault="004F692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655793" w:rsidRDefault="000C39F0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1150" w:type="dxa"/>
          </w:tcPr>
          <w:p w:rsidR="00EA01D1" w:rsidRPr="00655793" w:rsidRDefault="000C39F0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1560" w:type="dxa"/>
          </w:tcPr>
          <w:p w:rsidR="00EA01D1" w:rsidRPr="00655793" w:rsidRDefault="004F692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EA01D1" w:rsidRPr="00E309CA" w:rsidTr="006B3C6A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655793" w:rsidRDefault="00EA01D1" w:rsidP="000C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9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0" w:type="dxa"/>
          </w:tcPr>
          <w:p w:rsidR="00EA01D1" w:rsidRPr="00655793" w:rsidRDefault="00EA01D1" w:rsidP="000C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9F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60" w:type="dxa"/>
          </w:tcPr>
          <w:p w:rsidR="00EA01D1" w:rsidRPr="00655793" w:rsidRDefault="00F26EE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A01D1" w:rsidRPr="00E309CA" w:rsidTr="006B3C6A">
        <w:tc>
          <w:tcPr>
            <w:tcW w:w="3794" w:type="dxa"/>
            <w:vMerge w:val="restart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 убыль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EA01D1" w:rsidRPr="008B7C26" w:rsidRDefault="00EA01D1" w:rsidP="000C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EA01D1" w:rsidRPr="008B7C26" w:rsidRDefault="00EA01D1" w:rsidP="000C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A01D1" w:rsidRPr="008B7C26" w:rsidRDefault="00F26EE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A01D1" w:rsidRPr="00E309CA" w:rsidTr="006B3C6A">
        <w:tc>
          <w:tcPr>
            <w:tcW w:w="3794" w:type="dxa"/>
            <w:vMerge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EA01D1" w:rsidRPr="008B7C26" w:rsidRDefault="00EA01D1" w:rsidP="000C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D3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C39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0" w:type="dxa"/>
          </w:tcPr>
          <w:p w:rsidR="00EA01D1" w:rsidRPr="008B7C26" w:rsidRDefault="00EA01D1" w:rsidP="000C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9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EA01D1" w:rsidRPr="008B7C26" w:rsidRDefault="00F26EE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EA01D1" w:rsidRPr="00E309CA" w:rsidTr="006B3C6A">
        <w:tc>
          <w:tcPr>
            <w:tcW w:w="3794" w:type="dxa"/>
            <w:vMerge w:val="restart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Миграционный приток, отток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EA01D1" w:rsidRPr="008B7C26" w:rsidRDefault="00BC3DCA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-127</w:t>
            </w:r>
          </w:p>
        </w:tc>
        <w:tc>
          <w:tcPr>
            <w:tcW w:w="1150" w:type="dxa"/>
          </w:tcPr>
          <w:p w:rsidR="00EA01D1" w:rsidRPr="008B7C26" w:rsidRDefault="00EA01D1" w:rsidP="00B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DC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</w:tcPr>
          <w:p w:rsidR="00EA01D1" w:rsidRPr="008B7C26" w:rsidRDefault="00F26EE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A01D1" w:rsidRPr="00E309CA" w:rsidTr="006B3C6A">
        <w:tc>
          <w:tcPr>
            <w:tcW w:w="3794" w:type="dxa"/>
            <w:vMerge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EA01D1" w:rsidRPr="008B7C26" w:rsidRDefault="00BC3DCA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  <w:tc>
          <w:tcPr>
            <w:tcW w:w="1150" w:type="dxa"/>
          </w:tcPr>
          <w:p w:rsidR="00EA01D1" w:rsidRPr="008B7C26" w:rsidRDefault="00BC3DCA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-16,02</w:t>
            </w:r>
          </w:p>
        </w:tc>
        <w:tc>
          <w:tcPr>
            <w:tcW w:w="1560" w:type="dxa"/>
          </w:tcPr>
          <w:p w:rsidR="00EA01D1" w:rsidRPr="008B7C26" w:rsidRDefault="00F26EE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</w:tbl>
    <w:p w:rsidR="00EA01D1" w:rsidRPr="00EA43EA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C0" w:rsidRDefault="00E345C0"/>
    <w:sectPr w:rsidR="00E345C0" w:rsidSect="00E3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A01D1"/>
    <w:rsid w:val="000144D0"/>
    <w:rsid w:val="000244C8"/>
    <w:rsid w:val="000A4877"/>
    <w:rsid w:val="000C39F0"/>
    <w:rsid w:val="000C59BE"/>
    <w:rsid w:val="00114C80"/>
    <w:rsid w:val="001C13B1"/>
    <w:rsid w:val="001D159C"/>
    <w:rsid w:val="00221C66"/>
    <w:rsid w:val="002605BA"/>
    <w:rsid w:val="002C7979"/>
    <w:rsid w:val="003249F3"/>
    <w:rsid w:val="00362771"/>
    <w:rsid w:val="003A10D5"/>
    <w:rsid w:val="004522BD"/>
    <w:rsid w:val="004707E3"/>
    <w:rsid w:val="004860B3"/>
    <w:rsid w:val="004912E1"/>
    <w:rsid w:val="004E4597"/>
    <w:rsid w:val="004F6921"/>
    <w:rsid w:val="004F6BED"/>
    <w:rsid w:val="0057306E"/>
    <w:rsid w:val="005F62BF"/>
    <w:rsid w:val="00634266"/>
    <w:rsid w:val="00655793"/>
    <w:rsid w:val="006A2D30"/>
    <w:rsid w:val="006B3C6A"/>
    <w:rsid w:val="006B5E82"/>
    <w:rsid w:val="00704FB9"/>
    <w:rsid w:val="0071272B"/>
    <w:rsid w:val="0074265C"/>
    <w:rsid w:val="007B538A"/>
    <w:rsid w:val="007F0FB7"/>
    <w:rsid w:val="0082005F"/>
    <w:rsid w:val="008919DF"/>
    <w:rsid w:val="008A6118"/>
    <w:rsid w:val="008D0C1F"/>
    <w:rsid w:val="00946EBA"/>
    <w:rsid w:val="009761BE"/>
    <w:rsid w:val="00987B96"/>
    <w:rsid w:val="009925DC"/>
    <w:rsid w:val="009C05DA"/>
    <w:rsid w:val="009D11E9"/>
    <w:rsid w:val="00A26D36"/>
    <w:rsid w:val="00A30E7E"/>
    <w:rsid w:val="00A332C8"/>
    <w:rsid w:val="00A5172C"/>
    <w:rsid w:val="00AA0A4D"/>
    <w:rsid w:val="00B01F5A"/>
    <w:rsid w:val="00BC3DCA"/>
    <w:rsid w:val="00C31747"/>
    <w:rsid w:val="00C678BF"/>
    <w:rsid w:val="00D60747"/>
    <w:rsid w:val="00D67A6D"/>
    <w:rsid w:val="00D82713"/>
    <w:rsid w:val="00E345C0"/>
    <w:rsid w:val="00E51355"/>
    <w:rsid w:val="00EA01D1"/>
    <w:rsid w:val="00EE3DA3"/>
    <w:rsid w:val="00F26EE9"/>
    <w:rsid w:val="00F4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D1"/>
  </w:style>
  <w:style w:type="paragraph" w:styleId="3">
    <w:name w:val="heading 3"/>
    <w:basedOn w:val="a"/>
    <w:next w:val="a"/>
    <w:link w:val="30"/>
    <w:qFormat/>
    <w:rsid w:val="00EA01D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A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A0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A0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1"/>
    <w:rsid w:val="00EA0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A01D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2015-10-21T04:16:00Z</cp:lastPrinted>
  <dcterms:created xsi:type="dcterms:W3CDTF">2015-07-16T04:31:00Z</dcterms:created>
  <dcterms:modified xsi:type="dcterms:W3CDTF">2016-01-27T23:38:00Z</dcterms:modified>
</cp:coreProperties>
</file>